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B8C2" w14:textId="77777777" w:rsidR="004C783A" w:rsidRPr="000E7EFA" w:rsidRDefault="004C783A" w:rsidP="004C783A">
      <w:pPr>
        <w:shd w:val="clear" w:color="auto" w:fill="FFFFFF"/>
        <w:spacing w:after="0" w:line="360" w:lineRule="auto"/>
        <w:ind w:firstLine="284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0E7EFA">
        <w:rPr>
          <w:rFonts w:ascii="Garamond" w:eastAsia="Times New Roman" w:hAnsi="Garamond" w:cs="Segoe UI"/>
          <w:noProof/>
          <w:sz w:val="24"/>
          <w:szCs w:val="24"/>
          <w:lang w:eastAsia="it-IT"/>
        </w:rPr>
        <w:drawing>
          <wp:inline distT="0" distB="0" distL="0" distR="0" wp14:anchorId="277FCA9D" wp14:editId="6C8C9E3B">
            <wp:extent cx="1240325" cy="882420"/>
            <wp:effectExtent l="0" t="0" r="4445" b="0"/>
            <wp:docPr id="82391283" name="Image 1" descr="Une image contenant texte, Police, stylos et plum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3033" name="Image 1" descr="Une image contenant texte, Police, stylos et plumes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3330" cy="89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EFA">
        <w:rPr>
          <w:rFonts w:ascii="Garamond" w:eastAsia="Times New Roman" w:hAnsi="Garamond" w:cs="Segoe UI"/>
          <w:sz w:val="24"/>
          <w:szCs w:val="24"/>
          <w:lang w:eastAsia="it-IT"/>
        </w:rPr>
        <w:t xml:space="preserve"> </w:t>
      </w:r>
      <w:r w:rsidRPr="000E7EFA">
        <w:rPr>
          <w:rFonts w:ascii="Garamond" w:hAnsi="Garamond"/>
          <w:sz w:val="24"/>
          <w:szCs w:val="24"/>
        </w:rPr>
        <w:fldChar w:fldCharType="begin"/>
      </w:r>
      <w:r w:rsidRPr="000E7EFA">
        <w:rPr>
          <w:rFonts w:ascii="Garamond" w:hAnsi="Garamond"/>
          <w:sz w:val="24"/>
          <w:szCs w:val="24"/>
        </w:rPr>
        <w:instrText xml:space="preserve"> INCLUDEPICTURE "https://unilogo.unil.ch/storage/logo/unilogo_bleu_300dpi.png" \* MERGEFORMATINET </w:instrText>
      </w:r>
      <w:r w:rsidRPr="000E7EFA">
        <w:rPr>
          <w:rFonts w:ascii="Garamond" w:hAnsi="Garamond"/>
          <w:sz w:val="24"/>
          <w:szCs w:val="24"/>
        </w:rPr>
        <w:fldChar w:fldCharType="separate"/>
      </w:r>
      <w:r w:rsidRPr="000E7EFA">
        <w:rPr>
          <w:rFonts w:ascii="Garamond" w:hAnsi="Garamond"/>
          <w:noProof/>
          <w:sz w:val="24"/>
          <w:szCs w:val="24"/>
        </w:rPr>
        <w:drawing>
          <wp:inline distT="0" distB="0" distL="0" distR="0" wp14:anchorId="699F3C49" wp14:editId="57F010C6">
            <wp:extent cx="1800713" cy="633743"/>
            <wp:effectExtent l="0" t="0" r="3175" b="1270"/>
            <wp:docPr id="18591699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11" cy="66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EFA">
        <w:rPr>
          <w:rFonts w:ascii="Garamond" w:hAnsi="Garamond"/>
          <w:sz w:val="24"/>
          <w:szCs w:val="24"/>
        </w:rPr>
        <w:fldChar w:fldCharType="end"/>
      </w:r>
    </w:p>
    <w:p w14:paraId="17388988" w14:textId="77777777" w:rsidR="000F246D" w:rsidRPr="000E7EFA" w:rsidRDefault="000F246D" w:rsidP="004C783A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5A992F86" w14:textId="77777777" w:rsidR="000F246D" w:rsidRDefault="000F246D" w:rsidP="004A5141">
      <w:pPr>
        <w:spacing w:after="0" w:line="360" w:lineRule="auto"/>
        <w:ind w:firstLine="284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6A5EB517" w14:textId="79C0DB99" w:rsidR="003A3833" w:rsidRPr="00243124" w:rsidRDefault="003A3833" w:rsidP="003A3833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r w:rsidRPr="00243124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IV Conferência Internacional TULE</w:t>
      </w:r>
    </w:p>
    <w:p w14:paraId="4E561D4E" w14:textId="77777777" w:rsidR="003A3833" w:rsidRPr="00243124" w:rsidRDefault="003A3833" w:rsidP="003A3833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</w:p>
    <w:p w14:paraId="58AF0D08" w14:textId="77777777" w:rsidR="003A3833" w:rsidRPr="00243124" w:rsidRDefault="003A3833" w:rsidP="003A3833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r w:rsidRPr="00243124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Universidade de Lausanne (Suíça)</w:t>
      </w:r>
    </w:p>
    <w:p w14:paraId="4E93C1A0" w14:textId="77777777" w:rsidR="003A3833" w:rsidRPr="00243124" w:rsidRDefault="003A3833" w:rsidP="003A3833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</w:p>
    <w:p w14:paraId="1577E92D" w14:textId="77777777" w:rsidR="003A3833" w:rsidRPr="00243124" w:rsidRDefault="003A3833" w:rsidP="003A3833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r w:rsidRPr="00243124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21-22 de novembro de 2025</w:t>
      </w:r>
    </w:p>
    <w:p w14:paraId="343912DA" w14:textId="77777777" w:rsidR="003A3833" w:rsidRPr="00243124" w:rsidRDefault="003A3833" w:rsidP="003A3833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</w:p>
    <w:p w14:paraId="0C95152F" w14:textId="77777777" w:rsidR="003A3833" w:rsidRPr="00243124" w:rsidRDefault="003A3833" w:rsidP="003A3833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r w:rsidRPr="00243124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Caminhar. Turismo literário passo a passo</w:t>
      </w:r>
    </w:p>
    <w:p w14:paraId="299B32B3" w14:textId="77777777" w:rsidR="003A3833" w:rsidRPr="00243124" w:rsidRDefault="003A3833" w:rsidP="003A3833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</w:p>
    <w:p w14:paraId="660F74E9" w14:textId="011B6AE0" w:rsidR="003A3833" w:rsidRPr="00243124" w:rsidRDefault="003A3833" w:rsidP="003A3833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r w:rsidRPr="00243124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Chamada de Comunicações</w:t>
      </w:r>
    </w:p>
    <w:p w14:paraId="4E5A5356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70B92537" w14:textId="37720089" w:rsidR="004A5141" w:rsidRDefault="003A3833" w:rsidP="003A3833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Após as três primeiras conferências internacionais realizadas na Universidade para Estrangeiros em Perugia, Itália (novembro de 2022), na Universidade do Algarve, Portugal (setembro de 2023) e em Matera-Aliano, Itália (outubro de 2024), o Grupo de Investigação em Turismo Literário (TULE) (</w:t>
      </w:r>
      <w:hyperlink r:id="rId7" w:history="1">
        <w:r w:rsidRPr="00245634">
          <w:rPr>
            <w:rStyle w:val="Lienhypertexte"/>
            <w:rFonts w:ascii="Garamond" w:hAnsi="Garamond"/>
            <w:sz w:val="24"/>
            <w:szCs w:val="24"/>
            <w:shd w:val="clear" w:color="auto" w:fill="FFFFFF"/>
          </w:rPr>
          <w:t>https://www.unistrapg.it/it/ricerca/ricerca/dipartimenti-e-centri/centro-sul-turismo-letterario-tule)</w:t>
        </w:r>
      </w:hyperlink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183619">
        <w:rPr>
          <w:rFonts w:ascii="Garamond" w:hAnsi="Garamond"/>
          <w:color w:val="000000"/>
          <w:sz w:val="24"/>
          <w:szCs w:val="24"/>
          <w:shd w:val="clear" w:color="auto" w:fill="FFFFFF"/>
        </w:rPr>
        <w:t>o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rganiza a sua quarta conferência internacional na Universidade de Lausanne, Suíça.</w:t>
      </w:r>
    </w:p>
    <w:p w14:paraId="2914BB41" w14:textId="77777777" w:rsidR="003A3833" w:rsidRDefault="003A3833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661EE47D" w14:textId="77777777" w:rsidR="003A3833" w:rsidRPr="00243124" w:rsidRDefault="003A3833" w:rsidP="00243124">
      <w:pPr>
        <w:spacing w:after="0" w:line="360" w:lineRule="auto"/>
        <w:jc w:val="both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r w:rsidRPr="00243124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Caminhar. Turismo literário passo a passo</w:t>
      </w:r>
    </w:p>
    <w:p w14:paraId="4A307BD5" w14:textId="2F87DCE8" w:rsidR="003A3833" w:rsidRPr="003A3833" w:rsidRDefault="003A3833" w:rsidP="00243124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A humanidade sempre caminhou, mas nunca como nos últimos anos nos apercebemos desse facto, talvez porque caminhar, tão comum no passado, é agora uma atividade de lazer, um ato de vontade realizado em nome do bem-estar psicofísico ou da proteção do ambiente. Caminhar é agora uma filosofia de vida, uma prática ética, que determina a nossa vida quotidiana: dos dez mil passos diários ao </w:t>
      </w:r>
      <w:r w:rsidR="00243124" w:rsidRPr="00243124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slow tourism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. </w:t>
      </w:r>
    </w:p>
    <w:p w14:paraId="696676A9" w14:textId="77777777" w:rsidR="00243124" w:rsidRDefault="00243124" w:rsidP="00243124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410B6DD9" w14:textId="35C88A17" w:rsidR="003A3833" w:rsidRDefault="003A3833" w:rsidP="00243124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Após três conferências dedicadas aos lugares literários,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o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TULE propõe-se discutir esta forma de </w:t>
      </w:r>
      <w:r w:rsidRPr="003A3833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slow tourism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refletindo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sobre os 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objectivos de promoção e preservação do território através da literatura. Para que os turistas possam caminhar - nas montanhas, na cidade ou no campo - nas pegadas dos escritores e das suas personagens através de lugares que foram visitados e/ou narrados, é necessária uma colaboração entre os estudos turísticos e a investigação literária. </w:t>
      </w:r>
    </w:p>
    <w:p w14:paraId="47660B44" w14:textId="77777777" w:rsid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5EA260B1" w14:textId="77777777" w:rsid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767B9B52" w14:textId="77777777" w:rsid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1D9DC919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1AF15C1D" w14:textId="0C49AF96" w:rsid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lastRenderedPageBreak/>
        <w:t>São bem-vindas propostas sobre</w:t>
      </w:r>
      <w:r w:rsidR="008A709C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os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seguintes tópicos</w:t>
      </w:r>
      <w:r w:rsidR="008A709C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 outros que sejam relevantes para a conferência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:</w:t>
      </w:r>
    </w:p>
    <w:p w14:paraId="218439A7" w14:textId="25158A12" w:rsidR="003A3833" w:rsidRPr="003A3833" w:rsidRDefault="003A3833" w:rsidP="003A383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Estudos de caso de turismo literário e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o ato de caminhar</w:t>
      </w:r>
    </w:p>
    <w:p w14:paraId="68A48E89" w14:textId="4938820C" w:rsidR="003A3833" w:rsidRPr="003A3833" w:rsidRDefault="003A3833" w:rsidP="003A383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Projetos territoriais de turismo literário a pé </w:t>
      </w:r>
    </w:p>
    <w:p w14:paraId="0BFD19EE" w14:textId="0CDDA100" w:rsidR="003A3833" w:rsidRPr="003A3833" w:rsidRDefault="003A3833" w:rsidP="003A383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Projetos inovadores de promoção de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destinos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literários visitados e/ou retratados por escritores desde a antiguidade até à atualidade</w:t>
      </w:r>
    </w:p>
    <w:p w14:paraId="07D8721E" w14:textId="30A03201" w:rsidR="003A3833" w:rsidRPr="003A3833" w:rsidRDefault="003A3833" w:rsidP="003A383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O </w:t>
      </w:r>
      <w:r w:rsidRPr="003A3833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corpus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do turismo literário sobre o tema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“caminhar”</w:t>
      </w:r>
    </w:p>
    <w:p w14:paraId="159E9449" w14:textId="4EB18189" w:rsidR="003A3833" w:rsidRPr="003A3833" w:rsidRDefault="003A3833" w:rsidP="003A383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O desenvolvimento de ferramentas para passeios literários: guias literários, itinerários literários, aplicações, entre outros.</w:t>
      </w:r>
    </w:p>
    <w:p w14:paraId="7FAB6E83" w14:textId="2A27533C" w:rsidR="003A3833" w:rsidRPr="003A3833" w:rsidRDefault="003A3833" w:rsidP="003A383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A relação entre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o ato de caminhar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 a investigação literária</w:t>
      </w:r>
    </w:p>
    <w:p w14:paraId="6EBB880E" w14:textId="0A326DCD" w:rsidR="003A3833" w:rsidRDefault="003A3833" w:rsidP="003A383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O ato de caminhar 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a 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educação literária: viagens escolares, retiros literários e escrita criativa, entre outros</w:t>
      </w:r>
    </w:p>
    <w:p w14:paraId="7BA4878A" w14:textId="0BF77739" w:rsidR="00243124" w:rsidRPr="003A3833" w:rsidRDefault="00243124" w:rsidP="003A383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Turismo literário e </w:t>
      </w:r>
      <w:r w:rsidRPr="00243124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slow tourism</w:t>
      </w:r>
    </w:p>
    <w:p w14:paraId="6E820501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77AAF2CB" w14:textId="77777777" w:rsidR="004A5141" w:rsidRDefault="004A5141" w:rsidP="004A5141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5EACE20F" w14:textId="2489BA45" w:rsidR="003A3833" w:rsidRPr="003A3833" w:rsidRDefault="003A3833" w:rsidP="003A3833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O tema do turismo literário deve estar no centro das apresentações, quer se trate de um tema turístico já existente (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neste 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caso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será necessário documentá-lo, incluindo dados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quantitativos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) ou de uma proposta de valorização e promoção de destinos literários.</w:t>
      </w:r>
    </w:p>
    <w:p w14:paraId="296938D6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44B625FC" w14:textId="2F1724ED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Línguas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da conferência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: italiano, francês, espanhol, português e inglês</w:t>
      </w:r>
    </w:p>
    <w:p w14:paraId="1ADC0FE3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Duração da apresentação: 20-25 minutos</w:t>
      </w:r>
    </w:p>
    <w:p w14:paraId="075A3B0E" w14:textId="636E12C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Oportunidades de publicação: Após um processo de </w:t>
      </w:r>
      <w:r w:rsidRPr="003A3833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blind review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conduzido pe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la Comissão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Científic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a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os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textos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poderão ser publicados num livro de acesso livre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editado pela 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Perugia Stranieri University Press.</w:t>
      </w:r>
    </w:p>
    <w:p w14:paraId="2B98356B" w14:textId="47892240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As propostas devem ser enviadas para </w:t>
      </w:r>
      <w:r w:rsidR="00B523DB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centrotule@unistrapg.it</w:t>
      </w:r>
      <w:r w:rsidR="00B523DB">
        <w:rPr>
          <w:rFonts w:ascii="Garamond" w:hAnsi="Garamond" w:cs="Calibri"/>
          <w:color w:val="242424"/>
          <w:sz w:val="24"/>
          <w:szCs w:val="24"/>
          <w:shd w:val="clear" w:color="auto" w:fill="FFFFFF"/>
        </w:rPr>
        <w:t xml:space="preserve"> 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antes de 1</w:t>
      </w:r>
      <w:r w:rsidR="00FF4E6F">
        <w:rPr>
          <w:rFonts w:ascii="Garamond" w:hAnsi="Garamond"/>
          <w:color w:val="000000"/>
          <w:sz w:val="24"/>
          <w:szCs w:val="24"/>
          <w:shd w:val="clear" w:color="auto" w:fill="FFFFFF"/>
        </w:rPr>
        <w:t>5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março de 2025.</w:t>
      </w:r>
    </w:p>
    <w:p w14:paraId="09461F98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Os organizadores enviarão uma decisão antes de 1 de abril de 2025.</w:t>
      </w:r>
    </w:p>
    <w:p w14:paraId="6236B5E6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67B5E547" w14:textId="5F4E3FBD" w:rsidR="005D6607" w:rsidRDefault="005D6607" w:rsidP="00100916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Para participar na conferência, </w:t>
      </w:r>
      <w:r w:rsidR="00100916"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após a aceitação da proposta </w:t>
      </w:r>
      <w:r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é necessário pagar uma taxa de inscrição de 100 </w:t>
      </w:r>
      <w:r w:rsidR="00B523DB">
        <w:rPr>
          <w:rFonts w:ascii="Garamond" w:hAnsi="Garamond"/>
          <w:color w:val="000000"/>
          <w:sz w:val="24"/>
          <w:szCs w:val="24"/>
          <w:shd w:val="clear" w:color="auto" w:fill="FFFFFF"/>
        </w:rPr>
        <w:t>CHF</w:t>
      </w:r>
      <w:r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</w:t>
      </w:r>
      <w:r w:rsidR="00100916"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>até dia</w:t>
      </w:r>
      <w:r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20 de junho de 2025) ou 150 </w:t>
      </w:r>
      <w:r w:rsidR="00B523DB">
        <w:rPr>
          <w:rFonts w:ascii="Garamond" w:hAnsi="Garamond"/>
          <w:color w:val="000000"/>
          <w:sz w:val="24"/>
          <w:szCs w:val="24"/>
          <w:shd w:val="clear" w:color="auto" w:fill="FFFFFF"/>
        </w:rPr>
        <w:t>CHF</w:t>
      </w:r>
      <w:r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(após 20 de junho de 2025). Esta taxa inclui os dois almoços, os </w:t>
      </w:r>
      <w:r w:rsidR="00100916"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>coffee-breaks</w:t>
      </w:r>
      <w:r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>, a emissão d</w:t>
      </w:r>
      <w:r w:rsidR="00100916"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o </w:t>
      </w:r>
      <w:r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>certificado de participação e a publicação</w:t>
      </w:r>
      <w:r w:rsidR="00100916"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. A publicação está </w:t>
      </w:r>
      <w:r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sujeita </w:t>
      </w:r>
      <w:r w:rsidR="00100916"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>ao processo de dupla avaliação cega do trabalho</w:t>
      </w:r>
      <w:r w:rsidRPr="00100916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301C8AB6" w14:textId="77777777" w:rsidR="00100916" w:rsidRDefault="00100916" w:rsidP="00100916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120EE301" w14:textId="0DB4AF4D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As propostas devem conter:</w:t>
      </w:r>
    </w:p>
    <w:p w14:paraId="60276AFD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- um breve curriculum vitae do autor da proposta (100 palavras no máximo),</w:t>
      </w:r>
    </w:p>
    <w:p w14:paraId="63404CA4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um título </w:t>
      </w:r>
    </w:p>
    <w:p w14:paraId="34C91C86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- um resumo da apresentação (300 palavras no máximo)</w:t>
      </w:r>
    </w:p>
    <w:p w14:paraId="3BD36E7F" w14:textId="10D34426" w:rsidR="004A5141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(Os estudantes de doutoramento devem também enviar a proposta assinada pelo seu orientador).</w:t>
      </w:r>
    </w:p>
    <w:p w14:paraId="243AE6B3" w14:textId="77777777" w:rsidR="00A420A6" w:rsidRPr="00A420A6" w:rsidRDefault="00A420A6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6015C495" w14:textId="77777777" w:rsidR="003A3833" w:rsidRDefault="003A3833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714C57EA" w14:textId="77777777" w:rsidR="003A3833" w:rsidRDefault="003A3833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02B11AF3" w14:textId="3E237500" w:rsidR="00A420A6" w:rsidRPr="00A420A6" w:rsidRDefault="003A3833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A Comissão Científica</w:t>
      </w:r>
      <w:r w:rsidR="00A420A6" w:rsidRPr="00A420A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: </w:t>
      </w:r>
    </w:p>
    <w:p w14:paraId="52C591CF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Lorenzo Bagnoli (Universidade de Milão-Bicocca, Itália)</w:t>
      </w:r>
    </w:p>
    <w:p w14:paraId="0077A4C5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Giovanni Capecchi (Universidade para Estrangeiros de Perugia, Itália), Diretor do TULE</w:t>
      </w:r>
    </w:p>
    <w:p w14:paraId="08F8C2A1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Rita Capurro (Universidade de Milão-Bicocca, Itália)</w:t>
      </w:r>
    </w:p>
    <w:p w14:paraId="4A4F62A5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Yannick Gouchan (Universidade de Aix-Marseille, França)</w:t>
      </w:r>
    </w:p>
    <w:p w14:paraId="62883635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Toni Marino (Universidade para Estrangeiros de Perugia, Itália)</w:t>
      </w:r>
    </w:p>
    <w:p w14:paraId="1E9484BE" w14:textId="3A48D03E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Matteo M. Pedroni (Universidade de </w:t>
      </w:r>
      <w:r w:rsidR="005C1D9C"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Lausanne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, Suíça)</w:t>
      </w:r>
    </w:p>
    <w:p w14:paraId="42B53FAB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Jordi Arcos Pumarola (CETT - Universidade de Barcelona, Espanha)</w:t>
      </w:r>
    </w:p>
    <w:p w14:paraId="3E586A5F" w14:textId="77777777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Roberto Ubbidiente (Humboldt-Universität zu Berlin, Alemanha)</w:t>
      </w:r>
    </w:p>
    <w:p w14:paraId="60F5A3E3" w14:textId="03E40094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Rita Salomé Varela Andrade Rodrigues Baleiro (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U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niversidade do Algarve,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CiTUR</w:t>
      </w: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Portugal)</w:t>
      </w:r>
    </w:p>
    <w:p w14:paraId="4A9D3273" w14:textId="5CF6E789" w:rsidR="003A3833" w:rsidRPr="003A3833" w:rsidRDefault="003A3833" w:rsidP="003A3833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A3833">
        <w:rPr>
          <w:rFonts w:ascii="Garamond" w:hAnsi="Garamond"/>
          <w:color w:val="000000"/>
          <w:sz w:val="24"/>
          <w:szCs w:val="24"/>
          <w:shd w:val="clear" w:color="auto" w:fill="FFFFFF"/>
        </w:rPr>
        <w:t>Walter Zidaric (Universidade de Nantes, França)</w:t>
      </w:r>
    </w:p>
    <w:p w14:paraId="57A1FF17" w14:textId="77777777" w:rsidR="004A5141" w:rsidRDefault="004A5141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61209D4E" w14:textId="77777777" w:rsidR="00C26BEA" w:rsidRPr="00541508" w:rsidRDefault="00C26BEA" w:rsidP="00C26BEA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541508">
        <w:rPr>
          <w:rFonts w:ascii="Garamond" w:hAnsi="Garamond"/>
          <w:color w:val="000000"/>
          <w:sz w:val="24"/>
          <w:szCs w:val="24"/>
          <w:shd w:val="clear" w:color="auto" w:fill="FFFFFF"/>
        </w:rPr>
        <w:t>Os parceiros do Centro TULE são:</w:t>
      </w:r>
    </w:p>
    <w:p w14:paraId="3B3FAC94" w14:textId="77777777" w:rsidR="00C26BEA" w:rsidRPr="00541508" w:rsidRDefault="00C26BEA" w:rsidP="00C26BEA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541508">
        <w:rPr>
          <w:rFonts w:ascii="Garamond" w:hAnsi="Garamond"/>
          <w:color w:val="000000"/>
          <w:sz w:val="24"/>
          <w:szCs w:val="24"/>
          <w:shd w:val="clear" w:color="auto" w:fill="FFFFFF"/>
        </w:rPr>
        <w:t>Centro Aixois de Estudos Românicos (CAER) da Universidade de Aix-Marseille,</w:t>
      </w:r>
    </w:p>
    <w:p w14:paraId="14CC6B2E" w14:textId="65E4EDA8" w:rsidR="00C26BEA" w:rsidRPr="00541508" w:rsidRDefault="00C26BEA" w:rsidP="00C26BEA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541508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Centro de Investigação, Desenvolvimento e Inovação </w:t>
      </w:r>
      <w:r w:rsidR="00FE3E53">
        <w:rPr>
          <w:rFonts w:ascii="Garamond" w:hAnsi="Garamond"/>
          <w:color w:val="000000"/>
          <w:sz w:val="24"/>
          <w:szCs w:val="24"/>
          <w:shd w:val="clear" w:color="auto" w:fill="FFFFFF"/>
        </w:rPr>
        <w:t>em Turismo</w:t>
      </w:r>
      <w:r w:rsidRPr="00541508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(CiTUR),</w:t>
      </w:r>
    </w:p>
    <w:p w14:paraId="01388D25" w14:textId="77777777" w:rsidR="00C26BEA" w:rsidRPr="00541508" w:rsidRDefault="00C26BEA" w:rsidP="00C26BEA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541508">
        <w:rPr>
          <w:rFonts w:ascii="Garamond" w:hAnsi="Garamond"/>
          <w:color w:val="000000"/>
          <w:sz w:val="24"/>
          <w:szCs w:val="24"/>
          <w:shd w:val="clear" w:color="auto" w:fill="FFFFFF"/>
        </w:rPr>
        <w:t>Fundação Uniser Pistoia,</w:t>
      </w:r>
    </w:p>
    <w:p w14:paraId="4A9C42A3" w14:textId="718B7837" w:rsidR="00C26BEA" w:rsidRPr="000E7EFA" w:rsidRDefault="00C26BEA" w:rsidP="00C26BEA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541508">
        <w:rPr>
          <w:rFonts w:ascii="Garamond" w:hAnsi="Garamond"/>
          <w:color w:val="000000"/>
          <w:sz w:val="24"/>
          <w:szCs w:val="24"/>
          <w:shd w:val="clear" w:color="auto" w:fill="FFFFFF"/>
        </w:rPr>
        <w:t>Fundação Margherita para a Cultura Italiana em Sion.</w:t>
      </w:r>
    </w:p>
    <w:p w14:paraId="31193768" w14:textId="77777777" w:rsidR="00C36347" w:rsidRPr="000E7EFA" w:rsidRDefault="00C36347" w:rsidP="000302E2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3E6701F0" w14:textId="77777777" w:rsidR="000302E2" w:rsidRPr="000E7EFA" w:rsidRDefault="000302E2" w:rsidP="000302E2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sectPr w:rsidR="000302E2" w:rsidRPr="000E7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ABC"/>
    <w:multiLevelType w:val="hybridMultilevel"/>
    <w:tmpl w:val="2BE8BEDA"/>
    <w:lvl w:ilvl="0" w:tplc="DBB0A004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764F8E"/>
    <w:multiLevelType w:val="hybridMultilevel"/>
    <w:tmpl w:val="91E2087E"/>
    <w:lvl w:ilvl="0" w:tplc="DBB0A004">
      <w:numFmt w:val="bullet"/>
      <w:lvlText w:val="-"/>
      <w:lvlJc w:val="left"/>
      <w:pPr>
        <w:ind w:left="928" w:hanging="360"/>
      </w:pPr>
      <w:rPr>
        <w:rFonts w:ascii="Garamond" w:eastAsiaTheme="minorHAnsi" w:hAnsi="Garamond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3B3706A"/>
    <w:multiLevelType w:val="hybridMultilevel"/>
    <w:tmpl w:val="A2F41DA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97885954">
    <w:abstractNumId w:val="2"/>
  </w:num>
  <w:num w:numId="2" w16cid:durableId="1334643741">
    <w:abstractNumId w:val="0"/>
  </w:num>
  <w:num w:numId="3" w16cid:durableId="137411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xNDG1sDQzNDU2MDdS0lEKTi0uzszPAykwrAUATNGMGSwAAAA="/>
  </w:docVars>
  <w:rsids>
    <w:rsidRoot w:val="00AE6FBF"/>
    <w:rsid w:val="00004365"/>
    <w:rsid w:val="00004538"/>
    <w:rsid w:val="000302E2"/>
    <w:rsid w:val="00044CAC"/>
    <w:rsid w:val="0006618C"/>
    <w:rsid w:val="000676CD"/>
    <w:rsid w:val="000E7EFA"/>
    <w:rsid w:val="000F246D"/>
    <w:rsid w:val="00100916"/>
    <w:rsid w:val="001727FC"/>
    <w:rsid w:val="001728D4"/>
    <w:rsid w:val="00183619"/>
    <w:rsid w:val="001C2955"/>
    <w:rsid w:val="001C42B4"/>
    <w:rsid w:val="001C69DC"/>
    <w:rsid w:val="0023045F"/>
    <w:rsid w:val="0023261B"/>
    <w:rsid w:val="00243124"/>
    <w:rsid w:val="0024415E"/>
    <w:rsid w:val="002724DD"/>
    <w:rsid w:val="00284150"/>
    <w:rsid w:val="002E4948"/>
    <w:rsid w:val="002F0C39"/>
    <w:rsid w:val="002F70C2"/>
    <w:rsid w:val="00317166"/>
    <w:rsid w:val="00361A5C"/>
    <w:rsid w:val="00391478"/>
    <w:rsid w:val="00394A54"/>
    <w:rsid w:val="003A3833"/>
    <w:rsid w:val="003A72E4"/>
    <w:rsid w:val="003D66CD"/>
    <w:rsid w:val="003E1D96"/>
    <w:rsid w:val="003F4A95"/>
    <w:rsid w:val="003F5892"/>
    <w:rsid w:val="0041294B"/>
    <w:rsid w:val="0042533A"/>
    <w:rsid w:val="004528B6"/>
    <w:rsid w:val="0045290C"/>
    <w:rsid w:val="00460B07"/>
    <w:rsid w:val="0047292C"/>
    <w:rsid w:val="00474ED5"/>
    <w:rsid w:val="0049629B"/>
    <w:rsid w:val="004962C0"/>
    <w:rsid w:val="004A5141"/>
    <w:rsid w:val="004C783A"/>
    <w:rsid w:val="0050197C"/>
    <w:rsid w:val="00515254"/>
    <w:rsid w:val="00541508"/>
    <w:rsid w:val="0055265E"/>
    <w:rsid w:val="00591758"/>
    <w:rsid w:val="005968AC"/>
    <w:rsid w:val="005B7597"/>
    <w:rsid w:val="005C1D9C"/>
    <w:rsid w:val="005D6607"/>
    <w:rsid w:val="005F5E64"/>
    <w:rsid w:val="00611929"/>
    <w:rsid w:val="00614642"/>
    <w:rsid w:val="0067022E"/>
    <w:rsid w:val="006844D4"/>
    <w:rsid w:val="00694000"/>
    <w:rsid w:val="006A02E5"/>
    <w:rsid w:val="006A4971"/>
    <w:rsid w:val="006A645A"/>
    <w:rsid w:val="006C0490"/>
    <w:rsid w:val="006E387D"/>
    <w:rsid w:val="006F476E"/>
    <w:rsid w:val="00727C21"/>
    <w:rsid w:val="0076109F"/>
    <w:rsid w:val="007E5ACF"/>
    <w:rsid w:val="007F068D"/>
    <w:rsid w:val="00813578"/>
    <w:rsid w:val="0081556C"/>
    <w:rsid w:val="00822FAF"/>
    <w:rsid w:val="00845A25"/>
    <w:rsid w:val="00846F04"/>
    <w:rsid w:val="0085209C"/>
    <w:rsid w:val="00893D56"/>
    <w:rsid w:val="008A709C"/>
    <w:rsid w:val="008B3FC0"/>
    <w:rsid w:val="008D24F8"/>
    <w:rsid w:val="009B3554"/>
    <w:rsid w:val="009C1D7E"/>
    <w:rsid w:val="00A37F06"/>
    <w:rsid w:val="00A420A6"/>
    <w:rsid w:val="00A468F6"/>
    <w:rsid w:val="00A60410"/>
    <w:rsid w:val="00A71A8D"/>
    <w:rsid w:val="00A752FF"/>
    <w:rsid w:val="00A95BB6"/>
    <w:rsid w:val="00AB5ABC"/>
    <w:rsid w:val="00AE6FBF"/>
    <w:rsid w:val="00B16EF3"/>
    <w:rsid w:val="00B523DB"/>
    <w:rsid w:val="00B53FAE"/>
    <w:rsid w:val="00B56CDD"/>
    <w:rsid w:val="00B85C07"/>
    <w:rsid w:val="00BA1C6D"/>
    <w:rsid w:val="00BA3BC2"/>
    <w:rsid w:val="00BC25F4"/>
    <w:rsid w:val="00BC672E"/>
    <w:rsid w:val="00BD5EF7"/>
    <w:rsid w:val="00BE49A9"/>
    <w:rsid w:val="00BE524F"/>
    <w:rsid w:val="00C055C6"/>
    <w:rsid w:val="00C233C2"/>
    <w:rsid w:val="00C25F73"/>
    <w:rsid w:val="00C26BEA"/>
    <w:rsid w:val="00C36347"/>
    <w:rsid w:val="00C47CF1"/>
    <w:rsid w:val="00C54472"/>
    <w:rsid w:val="00CA7D5E"/>
    <w:rsid w:val="00CC7635"/>
    <w:rsid w:val="00D04309"/>
    <w:rsid w:val="00D04831"/>
    <w:rsid w:val="00D12610"/>
    <w:rsid w:val="00D245CB"/>
    <w:rsid w:val="00D425B9"/>
    <w:rsid w:val="00D56427"/>
    <w:rsid w:val="00D56536"/>
    <w:rsid w:val="00D83A53"/>
    <w:rsid w:val="00D85D5A"/>
    <w:rsid w:val="00DA454A"/>
    <w:rsid w:val="00DB77EF"/>
    <w:rsid w:val="00DE1768"/>
    <w:rsid w:val="00DF2F6D"/>
    <w:rsid w:val="00E338A4"/>
    <w:rsid w:val="00E4496A"/>
    <w:rsid w:val="00E47C17"/>
    <w:rsid w:val="00E60F70"/>
    <w:rsid w:val="00ED64D4"/>
    <w:rsid w:val="00EF66EE"/>
    <w:rsid w:val="00F15A09"/>
    <w:rsid w:val="00F165DD"/>
    <w:rsid w:val="00F24505"/>
    <w:rsid w:val="00F3182B"/>
    <w:rsid w:val="00F52F78"/>
    <w:rsid w:val="00F57C0A"/>
    <w:rsid w:val="00FD75F0"/>
    <w:rsid w:val="00FE3E53"/>
    <w:rsid w:val="00FE51C5"/>
    <w:rsid w:val="00FF0776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B4AD5"/>
  <w15:chartTrackingRefBased/>
  <w15:docId w15:val="{2F4228A5-2969-4D1F-ADAA-039F9F16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2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246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1A5C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C2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25F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Policepardfaut"/>
    <w:rsid w:val="00BC25F4"/>
  </w:style>
  <w:style w:type="character" w:customStyle="1" w:styleId="Titre2Car">
    <w:name w:val="Titre 2 Car"/>
    <w:basedOn w:val="Policepardfaut"/>
    <w:link w:val="Titre2"/>
    <w:uiPriority w:val="9"/>
    <w:rsid w:val="004528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E338A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4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strapg.it/it/ricerca/ricerca/dipartimenti-e-centri/centro-sul-turismo-letterario-tule)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4063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Capecchi</dc:creator>
  <cp:keywords/>
  <dc:description/>
  <cp:lastModifiedBy>Matteo Pedroni</cp:lastModifiedBy>
  <cp:revision>5</cp:revision>
  <dcterms:created xsi:type="dcterms:W3CDTF">2025-01-20T11:48:00Z</dcterms:created>
  <dcterms:modified xsi:type="dcterms:W3CDTF">2025-01-30T08:01:00Z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a52b6b9a74ada0ce786880a0d3fc98ea3c34384183cce1af457ebdded929fff2</vt:lpwstr>
  </property>
</Properties>
</file>