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B8C2" w14:textId="77777777" w:rsidR="004C783A" w:rsidRPr="000E7EFA" w:rsidRDefault="004C783A" w:rsidP="004C783A">
      <w:pPr>
        <w:shd w:val="clear" w:color="auto" w:fill="FFFFFF"/>
        <w:spacing w:after="0" w:line="360" w:lineRule="auto"/>
        <w:ind w:firstLine="284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0E7EFA">
        <w:rPr>
          <w:rFonts w:ascii="Garamond" w:eastAsia="Times New Roman" w:hAnsi="Garamond" w:cs="Segoe UI"/>
          <w:noProof/>
          <w:sz w:val="24"/>
          <w:szCs w:val="24"/>
          <w:lang w:eastAsia="it-IT"/>
        </w:rPr>
        <w:drawing>
          <wp:inline distT="0" distB="0" distL="0" distR="0" wp14:anchorId="277FCA9D" wp14:editId="6C8C9E3B">
            <wp:extent cx="1240325" cy="882420"/>
            <wp:effectExtent l="0" t="0" r="4445" b="0"/>
            <wp:docPr id="82391283" name="Image 1" descr="Une image contenant texte, Police, stylos et plum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3033" name="Image 1" descr="Une image contenant texte, Police, stylos et plumes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3330" cy="89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EFA">
        <w:rPr>
          <w:rFonts w:ascii="Garamond" w:eastAsia="Times New Roman" w:hAnsi="Garamond" w:cs="Segoe UI"/>
          <w:sz w:val="24"/>
          <w:szCs w:val="24"/>
          <w:lang w:eastAsia="it-IT"/>
        </w:rPr>
        <w:t xml:space="preserve"> </w:t>
      </w:r>
      <w:r w:rsidRPr="000E7EFA">
        <w:rPr>
          <w:rFonts w:ascii="Garamond" w:hAnsi="Garamond"/>
          <w:sz w:val="24"/>
          <w:szCs w:val="24"/>
        </w:rPr>
        <w:fldChar w:fldCharType="begin"/>
      </w:r>
      <w:r w:rsidRPr="000E7EFA">
        <w:rPr>
          <w:rFonts w:ascii="Garamond" w:hAnsi="Garamond"/>
          <w:sz w:val="24"/>
          <w:szCs w:val="24"/>
        </w:rPr>
        <w:instrText xml:space="preserve"> INCLUDEPICTURE "https://unilogo.unil.ch/storage/logo/unilogo_bleu_300dpi.png" \* MERGEFORMATINET </w:instrText>
      </w:r>
      <w:r w:rsidRPr="000E7EFA">
        <w:rPr>
          <w:rFonts w:ascii="Garamond" w:hAnsi="Garamond"/>
          <w:sz w:val="24"/>
          <w:szCs w:val="24"/>
        </w:rPr>
        <w:fldChar w:fldCharType="separate"/>
      </w:r>
      <w:r w:rsidRPr="000E7EFA">
        <w:rPr>
          <w:rFonts w:ascii="Garamond" w:hAnsi="Garamond"/>
          <w:noProof/>
          <w:sz w:val="24"/>
          <w:szCs w:val="24"/>
        </w:rPr>
        <w:drawing>
          <wp:inline distT="0" distB="0" distL="0" distR="0" wp14:anchorId="699F3C49" wp14:editId="2BCDC54C">
            <wp:extent cx="1800713" cy="633743"/>
            <wp:effectExtent l="0" t="0" r="3175" b="1270"/>
            <wp:docPr id="18591699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11" cy="66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EFA">
        <w:rPr>
          <w:rFonts w:ascii="Garamond" w:hAnsi="Garamond"/>
          <w:sz w:val="24"/>
          <w:szCs w:val="24"/>
        </w:rPr>
        <w:fldChar w:fldCharType="end"/>
      </w:r>
    </w:p>
    <w:p w14:paraId="17388988" w14:textId="77777777" w:rsidR="000F246D" w:rsidRPr="000E7EFA" w:rsidRDefault="000F246D" w:rsidP="004C783A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5A992F86" w14:textId="77777777" w:rsidR="000F246D" w:rsidRDefault="000F246D" w:rsidP="004A5141">
      <w:pPr>
        <w:spacing w:after="0" w:line="360" w:lineRule="auto"/>
        <w:ind w:firstLine="284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5440FE08" w14:textId="28CC2C0E" w:rsidR="004A5141" w:rsidRPr="00911036" w:rsidRDefault="00A95B58" w:rsidP="00A420A6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Cuarto</w:t>
      </w:r>
      <w:proofErr w:type="spellEnd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Congreso</w:t>
      </w:r>
      <w:proofErr w:type="spellEnd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Internacional</w:t>
      </w:r>
      <w:proofErr w:type="spellEnd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 TULE</w:t>
      </w:r>
    </w:p>
    <w:p w14:paraId="5C5E58AA" w14:textId="77777777" w:rsidR="004A5141" w:rsidRPr="00911036" w:rsidRDefault="004A5141" w:rsidP="00A420A6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</w:p>
    <w:p w14:paraId="2A7C50D8" w14:textId="4CB66616" w:rsidR="004A5141" w:rsidRPr="00911036" w:rsidRDefault="00A95B58" w:rsidP="00A420A6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Universidad</w:t>
      </w:r>
      <w:proofErr w:type="spellEnd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Lausana</w:t>
      </w:r>
      <w:proofErr w:type="spellEnd"/>
      <w:r w:rsidR="004A5141" w:rsidRPr="0091103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A5141" w:rsidRPr="0091103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uiza</w:t>
      </w:r>
      <w:proofErr w:type="spellEnd"/>
      <w:r w:rsidR="004A5141" w:rsidRPr="0091103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)</w:t>
      </w:r>
    </w:p>
    <w:p w14:paraId="7E363533" w14:textId="77777777" w:rsidR="004A5141" w:rsidRPr="00911036" w:rsidRDefault="004A5141" w:rsidP="00A420A6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</w:p>
    <w:p w14:paraId="00A3D15A" w14:textId="6312844F" w:rsidR="004A5141" w:rsidRPr="00911036" w:rsidRDefault="004A5141" w:rsidP="00A420A6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r w:rsidRPr="0091103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21-22 </w:t>
      </w:r>
      <w:proofErr w:type="spellStart"/>
      <w:r w:rsidRPr="0091103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Nov</w:t>
      </w:r>
      <w:r w:rsidR="00A95B58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ie</w:t>
      </w:r>
      <w:r w:rsidRPr="0091103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mb</w:t>
      </w:r>
      <w:r w:rsidR="00A95B58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re</w:t>
      </w:r>
      <w:proofErr w:type="spellEnd"/>
      <w:r w:rsidRPr="0091103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 2025</w:t>
      </w:r>
    </w:p>
    <w:p w14:paraId="27A32BDC" w14:textId="77777777" w:rsidR="004A5141" w:rsidRPr="00911036" w:rsidRDefault="004A5141" w:rsidP="00A420A6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</w:p>
    <w:p w14:paraId="39D6594F" w14:textId="5DE7407F" w:rsidR="004A5141" w:rsidRPr="00911036" w:rsidRDefault="00A95B58" w:rsidP="00A420A6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Caminar</w:t>
      </w:r>
      <w:proofErr w:type="spellEnd"/>
      <w:r w:rsidR="004A5141" w:rsidRPr="0091103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El turismo </w:t>
      </w:r>
      <w:proofErr w:type="spellStart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literario</w:t>
      </w:r>
      <w:proofErr w:type="spellEnd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 paso a paso</w:t>
      </w:r>
    </w:p>
    <w:p w14:paraId="6F2D0E7D" w14:textId="77777777" w:rsidR="004A5141" w:rsidRPr="00911036" w:rsidRDefault="004A5141" w:rsidP="00A420A6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</w:p>
    <w:p w14:paraId="2E91D164" w14:textId="2C03088E" w:rsidR="004A5141" w:rsidRPr="00911036" w:rsidRDefault="00A95B58" w:rsidP="00A420A6">
      <w:pPr>
        <w:spacing w:after="0" w:line="276" w:lineRule="auto"/>
        <w:ind w:firstLine="284"/>
        <w:jc w:val="center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Llamada</w:t>
      </w:r>
      <w:proofErr w:type="spellEnd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comunicaciones</w:t>
      </w:r>
      <w:proofErr w:type="spellEnd"/>
    </w:p>
    <w:p w14:paraId="2B1AA619" w14:textId="77777777" w:rsidR="004A5141" w:rsidRPr="00E04972" w:rsidRDefault="004A5141" w:rsidP="004A5141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3862CC79" w14:textId="218EC463" w:rsidR="004A5141" w:rsidRPr="00E04972" w:rsidRDefault="006133E2" w:rsidP="00911036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El Centro de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investigación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sobre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Turismo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Literario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– TULE (</w:t>
      </w:r>
      <w:hyperlink r:id="rId7" w:history="1">
        <w:r w:rsidRPr="00081BE3">
          <w:rPr>
            <w:rStyle w:val="Lienhypertexte"/>
            <w:rFonts w:ascii="Garamond" w:hAnsi="Garamond"/>
            <w:sz w:val="24"/>
            <w:szCs w:val="24"/>
            <w:shd w:val="clear" w:color="auto" w:fill="FFFFFF"/>
          </w:rPr>
          <w:t>https://www.unistrapg.it/it/ricerca/ricerca/dipartimenti-e-centri/centro-sul-turismo-letterario-tule</w:t>
        </w:r>
      </w:hyperlink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después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los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tres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primeros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congresos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internacionales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celebrados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en la Università per Stranieri di Perugia en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noviembre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del 2022, en la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Universidade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do Algarve en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septiembre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2023 y en Matera-Aliano (sede del Parco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Literario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Carlo Levi) en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octubre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2024,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está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organizando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su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cuarto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congreso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internacional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en la Université de Lausanne,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Suiza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70B92537" w14:textId="77777777" w:rsidR="004A5141" w:rsidRPr="00E04972" w:rsidRDefault="004A5141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107604FB" w14:textId="45BD334B" w:rsidR="00911036" w:rsidRPr="002163DF" w:rsidRDefault="006133E2" w:rsidP="00911036">
      <w:pPr>
        <w:spacing w:after="0" w:line="360" w:lineRule="auto"/>
        <w:jc w:val="both"/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Caminar</w:t>
      </w:r>
      <w:proofErr w:type="spellEnd"/>
      <w:r w:rsidR="004A5141" w:rsidRPr="0091103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El turismo </w:t>
      </w:r>
      <w:proofErr w:type="spellStart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literario</w:t>
      </w:r>
      <w:proofErr w:type="spellEnd"/>
      <w:r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 paso a paso</w:t>
      </w:r>
    </w:p>
    <w:p w14:paraId="23636A87" w14:textId="5B5D9613" w:rsidR="006133E2" w:rsidRDefault="006133E2" w:rsidP="00911036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La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humanidad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siempre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caminado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pero</w:t>
      </w:r>
      <w:proofErr w:type="gram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nunca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como en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los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últimos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años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hemos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sido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tan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conscientes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ello,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quizá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porque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caminar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tan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común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en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el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pasado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hoy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una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actividad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facultativa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un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acto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voluntad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realizado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en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nombre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bienestar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psicofísico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o de la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protección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del medio ambiente.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Caminar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es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hoy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una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filosofía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una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práctica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ética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que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determina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nuestra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vida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cotidiana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desde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los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diez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mil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pasos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diarios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hasta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el</w:t>
      </w:r>
      <w:proofErr w:type="spellEnd"/>
      <w:r w:rsidRP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turismo slow.</w:t>
      </w:r>
    </w:p>
    <w:p w14:paraId="7704D809" w14:textId="77777777" w:rsidR="00645534" w:rsidRDefault="00645534" w:rsidP="00911036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20C94CD0" w14:textId="3053F8C9" w:rsidR="006133E2" w:rsidRDefault="00645534" w:rsidP="00911036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Después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tres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conferencias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dedicadas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los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lugares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literarios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TULE propone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debatir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reflexionar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esta forma de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mobilidad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lenta</w:t>
      </w:r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que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refleja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sus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objetivos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promover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preservar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el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territorio a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través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literatura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. Para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que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los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visitantes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puedan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caminar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-en la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montaña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ciudad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el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campo-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tras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los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pasos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los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escritores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sus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personajes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través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lugares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visitados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y/o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representados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literariamente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es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necesaria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una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colaboración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entre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los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estudios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turísticos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la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investigación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literaria</w:t>
      </w:r>
      <w:proofErr w:type="spellEnd"/>
      <w:r w:rsidRPr="00645534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77AAF2CB" w14:textId="77777777" w:rsidR="004A5141" w:rsidRPr="00E04972" w:rsidRDefault="004A5141" w:rsidP="004A5141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438F4F3B" w14:textId="77777777" w:rsidR="00A420A6" w:rsidRPr="00E04972" w:rsidRDefault="00A420A6" w:rsidP="004A5141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16663096" w14:textId="77777777" w:rsidR="002163DF" w:rsidRDefault="00645534" w:rsidP="002163DF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lastRenderedPageBreak/>
        <w:t xml:space="preserve">Sin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excluir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otras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propuestas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se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aceptan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propuestas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comunicaciones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vinculadas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los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siguientes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temas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:</w:t>
      </w:r>
    </w:p>
    <w:p w14:paraId="6C07D4D6" w14:textId="54151483" w:rsidR="002163DF" w:rsidRPr="002163DF" w:rsidRDefault="002163DF" w:rsidP="002163D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Casos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estudio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experiencias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turismo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literario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basadas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en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caminar</w:t>
      </w:r>
      <w:proofErr w:type="spellEnd"/>
    </w:p>
    <w:p w14:paraId="3F95AC13" w14:textId="77777777" w:rsidR="002163DF" w:rsidRPr="002163DF" w:rsidRDefault="002163DF" w:rsidP="002163D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Proyectos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valorización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del territorio a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través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del turismo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literario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practicado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a pie</w:t>
      </w:r>
    </w:p>
    <w:p w14:paraId="483533E0" w14:textId="07A03A68" w:rsidR="002163DF" w:rsidRPr="002163DF" w:rsidRDefault="002163DF" w:rsidP="002163D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Proyectos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innovadores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promoción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valorización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lugares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literarios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por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los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que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han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paseado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y/o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narrado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escritores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desde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antigüedad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hasta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nuestros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días</w:t>
      </w:r>
      <w:proofErr w:type="spellEnd"/>
    </w:p>
    <w:p w14:paraId="3C1406F8" w14:textId="53BC1F8A" w:rsidR="002163DF" w:rsidRPr="002163DF" w:rsidRDefault="002163DF" w:rsidP="002163D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Corpus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textuales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el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turismo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literario</w:t>
      </w:r>
      <w:proofErr w:type="spellEnd"/>
    </w:p>
    <w:p w14:paraId="675C35D4" w14:textId="3EB4EB84" w:rsidR="002163DF" w:rsidRPr="002163DF" w:rsidRDefault="002163DF" w:rsidP="002163D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Desarrollo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herramientas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paseos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rutas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literarios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guías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itinerarios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aplicacione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, etc.</w:t>
      </w:r>
    </w:p>
    <w:p w14:paraId="5789E8C5" w14:textId="14FF9EE1" w:rsidR="002163DF" w:rsidRPr="002163DF" w:rsidRDefault="002163DF" w:rsidP="002163D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La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relación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entre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el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paseo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la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investigación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literaria</w:t>
      </w:r>
      <w:proofErr w:type="spellEnd"/>
    </w:p>
    <w:p w14:paraId="60B3B6D7" w14:textId="76A2ABD6" w:rsidR="002163DF" w:rsidRPr="002163DF" w:rsidRDefault="002163DF" w:rsidP="002163D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Caminar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educación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literaria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viajes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escolares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retiros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literarios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escritura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creativa, etc.</w:t>
      </w:r>
    </w:p>
    <w:p w14:paraId="3BD36E7F" w14:textId="47F62B51" w:rsidR="004A5141" w:rsidRPr="002163DF" w:rsidRDefault="002163DF" w:rsidP="002163D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Turismo </w:t>
      </w:r>
      <w:proofErr w:type="spellStart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literario</w:t>
      </w:r>
      <w:proofErr w:type="spellEnd"/>
      <w:r w:rsidRP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</w:t>
      </w:r>
      <w:r w:rsidR="003479CA">
        <w:rPr>
          <w:rFonts w:ascii="Garamond" w:hAnsi="Garamond"/>
          <w:i/>
          <w:color w:val="000000"/>
          <w:sz w:val="24"/>
          <w:szCs w:val="24"/>
          <w:shd w:val="clear" w:color="auto" w:fill="FFFFFF"/>
        </w:rPr>
        <w:t xml:space="preserve">slow </w:t>
      </w:r>
      <w:proofErr w:type="spellStart"/>
      <w:r w:rsidR="003479CA">
        <w:rPr>
          <w:rFonts w:ascii="Garamond" w:hAnsi="Garamond"/>
          <w:i/>
          <w:color w:val="000000"/>
          <w:sz w:val="24"/>
          <w:szCs w:val="24"/>
          <w:shd w:val="clear" w:color="auto" w:fill="FFFFFF"/>
        </w:rPr>
        <w:t>tourism</w:t>
      </w:r>
      <w:proofErr w:type="spellEnd"/>
      <w:r w:rsidR="003479CA">
        <w:rPr>
          <w:rFonts w:ascii="Garamond" w:hAnsi="Garamond"/>
          <w:i/>
          <w:color w:val="000000"/>
          <w:sz w:val="24"/>
          <w:szCs w:val="24"/>
          <w:shd w:val="clear" w:color="auto" w:fill="FFFFFF"/>
        </w:rPr>
        <w:t>.</w:t>
      </w:r>
    </w:p>
    <w:p w14:paraId="0AC7FEA2" w14:textId="77777777" w:rsidR="002163DF" w:rsidRPr="00E04972" w:rsidRDefault="002163DF" w:rsidP="002163DF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676D20AE" w14:textId="6EBC9155" w:rsidR="00BE524F" w:rsidRDefault="00710E4E" w:rsidP="003A72E4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El turismo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literario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como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temática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,</w:t>
      </w: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debe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estar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subyacente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en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las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presentaciones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realizadas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ya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sea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través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tratar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analizar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una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oferta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turística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o un caso</w:t>
      </w: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ya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existente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(en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cuyo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caso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será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necesario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documentarlo,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incluyendo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datos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cuantitativos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  <w:r w:rsid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,</w:t>
      </w: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recogiendo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una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propuesta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valorizar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promover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destinos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lugares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literarios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505B67E4" w14:textId="77777777" w:rsidR="00710E4E" w:rsidRDefault="00710E4E" w:rsidP="003A72E4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7E6274BE" w14:textId="5BD97C95" w:rsidR="00710E4E" w:rsidRDefault="00710E4E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Las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intervenciones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que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podrán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realizarse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en italiano,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francés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castellano,</w:t>
      </w: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portugués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inglés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tendrán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una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duración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r w:rsidR="00421A0C">
        <w:rPr>
          <w:rFonts w:ascii="Garamond" w:hAnsi="Garamond"/>
          <w:color w:val="000000"/>
          <w:sz w:val="24"/>
          <w:szCs w:val="24"/>
          <w:shd w:val="clear" w:color="auto" w:fill="FFFFFF"/>
        </w:rPr>
        <w:t>20-</w:t>
      </w: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25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minutos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cada una. </w:t>
      </w:r>
    </w:p>
    <w:p w14:paraId="1AE0986B" w14:textId="77777777" w:rsidR="002163DF" w:rsidRDefault="002163DF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29D9D977" w14:textId="3B237B07" w:rsidR="00710E4E" w:rsidRDefault="00710E4E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Las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contribuciones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aprobadas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por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el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Comité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Científico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del Centro TULE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podrán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ser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sometidas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a </w:t>
      </w:r>
      <w:proofErr w:type="gram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una doble</w:t>
      </w:r>
      <w:proofErr w:type="gram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revisión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anónima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para su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publicación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en un libro de acceso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abierto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en la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editorial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Perugia Stranieri University Press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0AB9EF3E" w14:textId="77777777" w:rsidR="002163DF" w:rsidRPr="00710E4E" w:rsidRDefault="002163DF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25786A99" w14:textId="137ADCA3" w:rsidR="00710E4E" w:rsidRDefault="00710E4E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Las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propuestas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deberán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enviarse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a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 correo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electrónico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A3110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centrotule@unistrapg.it</w:t>
      </w:r>
      <w:r w:rsidR="00A31107">
        <w:rPr>
          <w:rFonts w:ascii="Garamond" w:hAnsi="Garamond" w:cs="Calibri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antes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del 1</w:t>
      </w:r>
      <w:r w:rsidR="00421A0C">
        <w:rPr>
          <w:rFonts w:ascii="Garamond" w:hAnsi="Garamond"/>
          <w:color w:val="000000"/>
          <w:sz w:val="24"/>
          <w:szCs w:val="24"/>
          <w:shd w:val="clear" w:color="auto" w:fill="FFFFFF"/>
        </w:rPr>
        <w:t>5</w:t>
      </w: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marzo de 2025.</w:t>
      </w:r>
    </w:p>
    <w:p w14:paraId="364DB445" w14:textId="77777777" w:rsidR="002163DF" w:rsidRPr="00710E4E" w:rsidRDefault="002163DF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563B269C" w14:textId="57D06E47" w:rsidR="00710E4E" w:rsidRDefault="00710E4E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La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respuesta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sobre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aceptación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propuesta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se</w:t>
      </w:r>
      <w:r w:rsid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enviará</w:t>
      </w:r>
      <w:proofErr w:type="spellEnd"/>
      <w:r w:rsid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antes</w:t>
      </w:r>
      <w:proofErr w:type="spellEnd"/>
      <w:r w:rsidR="002163D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</w:t>
      </w: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el 1 de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abril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2025.</w:t>
      </w:r>
    </w:p>
    <w:p w14:paraId="161A3C0C" w14:textId="77777777" w:rsidR="00710E4E" w:rsidRPr="00710E4E" w:rsidRDefault="00710E4E" w:rsidP="002163DF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62984E4B" w14:textId="77777777" w:rsidR="00710E4E" w:rsidRPr="00710E4E" w:rsidRDefault="00710E4E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Las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propuestas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deberán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contener:</w:t>
      </w:r>
    </w:p>
    <w:p w14:paraId="0800722F" w14:textId="3037FEBD" w:rsidR="00710E4E" w:rsidRPr="00710E4E" w:rsidRDefault="00710E4E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un breve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currículum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vitae del autor</w:t>
      </w:r>
      <w:r w:rsidR="002163DF">
        <w:rPr>
          <w:rFonts w:ascii="Garamond" w:hAnsi="Garamond"/>
          <w:color w:val="000000"/>
          <w:sz w:val="24"/>
          <w:szCs w:val="24"/>
          <w:shd w:val="clear" w:color="auto" w:fill="FFFFFF"/>
        </w:rPr>
        <w:t>/a</w:t>
      </w: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propuesta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máximo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100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palabras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),</w:t>
      </w:r>
    </w:p>
    <w:p w14:paraId="14292DDF" w14:textId="77777777" w:rsidR="00710E4E" w:rsidRPr="00710E4E" w:rsidRDefault="00710E4E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un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título</w:t>
      </w:r>
      <w:proofErr w:type="spellEnd"/>
    </w:p>
    <w:p w14:paraId="0AD191B7" w14:textId="77777777" w:rsidR="00710E4E" w:rsidRDefault="00710E4E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un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resumen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presentación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máximo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300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palabras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</w:p>
    <w:p w14:paraId="376C4A5A" w14:textId="21310D8C" w:rsidR="002163DF" w:rsidRPr="00710E4E" w:rsidRDefault="002163DF" w:rsidP="002163DF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lastRenderedPageBreak/>
        <w:t xml:space="preserve">Los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estudiantes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doctorado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deberán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adjuntar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a la</w:t>
      </w:r>
      <w:proofErr w:type="gram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solicitud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una breve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presentación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escrita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firmada</w:t>
      </w:r>
      <w:proofErr w:type="spellEnd"/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por su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director/a</w:t>
      </w:r>
      <w:r w:rsidRPr="00710E4E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07F75B0A" w14:textId="77777777" w:rsidR="002163DF" w:rsidRPr="00710E4E" w:rsidRDefault="002163DF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5876CD27" w14:textId="1402002F" w:rsidR="00710E4E" w:rsidRDefault="003479CA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La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cuota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inscripción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congreso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es de 100 </w:t>
      </w:r>
      <w:r w:rsidR="00A31107">
        <w:rPr>
          <w:rFonts w:ascii="Garamond" w:hAnsi="Garamond"/>
          <w:color w:val="000000"/>
          <w:sz w:val="24"/>
          <w:szCs w:val="24"/>
          <w:shd w:val="clear" w:color="auto" w:fill="FFFFFF"/>
        </w:rPr>
        <w:t>CHF</w:t>
      </w:r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(en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el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caso de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que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inscripción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sea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realizada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antes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del 20 de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junio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2025) o 150 </w:t>
      </w:r>
      <w:r w:rsidR="00A31107">
        <w:rPr>
          <w:rFonts w:ascii="Garamond" w:hAnsi="Garamond"/>
          <w:color w:val="000000"/>
          <w:sz w:val="24"/>
          <w:szCs w:val="24"/>
          <w:shd w:val="clear" w:color="auto" w:fill="FFFFFF"/>
        </w:rPr>
        <w:t>CHF</w:t>
      </w:r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(para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inscripciones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realizadas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posterioridad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al 20 de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junio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2025). El pago de la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cuota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incluye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las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dos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comidas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las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pausas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el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café,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los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certificados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asistencia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y la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publicación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contribución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en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las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actas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previa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aprobación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por parte de la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revisión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por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pares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anónimos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).</w:t>
      </w:r>
    </w:p>
    <w:p w14:paraId="14B59E86" w14:textId="77777777" w:rsidR="003479CA" w:rsidRPr="00E04972" w:rsidRDefault="003479CA" w:rsidP="00710E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02B11AF3" w14:textId="06E045B9" w:rsidR="00A420A6" w:rsidRPr="00E04972" w:rsidRDefault="006133E2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Comité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Científico</w:t>
      </w:r>
      <w:proofErr w:type="spellEnd"/>
      <w:r w:rsidR="00A420A6"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: </w:t>
      </w:r>
    </w:p>
    <w:p w14:paraId="5F639F69" w14:textId="6E6B3E17" w:rsidR="00A420A6" w:rsidRPr="00E04972" w:rsidRDefault="00A420A6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Lorenzo Bagnoli (Università di Milano-Bicocca, Ital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ia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</w:p>
    <w:p w14:paraId="0BE775C3" w14:textId="7160FFCD" w:rsidR="00A420A6" w:rsidRPr="00E04972" w:rsidRDefault="00A420A6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Giovanni Capecchi (Università per Stranieri di Perugia, Ital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ia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), 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Director del 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TULE </w:t>
      </w:r>
    </w:p>
    <w:p w14:paraId="499D728F" w14:textId="2FE786F5" w:rsidR="00A420A6" w:rsidRPr="00E04972" w:rsidRDefault="00A420A6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Rita Capurro (Università di Milano-Bicocca, Ital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ia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</w:p>
    <w:p w14:paraId="3840C50C" w14:textId="6958A781" w:rsidR="00A420A6" w:rsidRPr="00E04972" w:rsidRDefault="00A420A6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Yannick </w:t>
      </w:r>
      <w:proofErr w:type="spellStart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Gouchan</w:t>
      </w:r>
      <w:proofErr w:type="spellEnd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(Universit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é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d’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Aix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Marseille, Franc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ia)</w:t>
      </w:r>
    </w:p>
    <w:p w14:paraId="27D422D2" w14:textId="5743DD72" w:rsidR="00A420A6" w:rsidRPr="00E04972" w:rsidRDefault="00A420A6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Toni Marino (Università per Stranieri di Perugia, Ita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lia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</w:p>
    <w:p w14:paraId="10489461" w14:textId="276FC0F7" w:rsidR="00A420A6" w:rsidRPr="00E04972" w:rsidRDefault="00A420A6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Matteo M. Pedroni (Universit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é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de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Lausanne, </w:t>
      </w:r>
      <w:proofErr w:type="spellStart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S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uiza</w:t>
      </w:r>
      <w:proofErr w:type="spellEnd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</w:p>
    <w:p w14:paraId="4B7108A8" w14:textId="1DFC0396" w:rsidR="00A420A6" w:rsidRPr="00E04972" w:rsidRDefault="00A420A6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Jordi Arcos </w:t>
      </w:r>
      <w:proofErr w:type="spellStart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Pumarola</w:t>
      </w:r>
      <w:proofErr w:type="spellEnd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(CETT - </w:t>
      </w:r>
      <w:proofErr w:type="spellStart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Universit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at</w:t>
      </w:r>
      <w:proofErr w:type="spellEnd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de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Barcelona</w:t>
      </w:r>
      <w:proofErr w:type="spellEnd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España</w:t>
      </w:r>
      <w:proofErr w:type="spellEnd"/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</w:p>
    <w:p w14:paraId="4A65F072" w14:textId="6B9040C7" w:rsidR="00A420A6" w:rsidRPr="00E04972" w:rsidRDefault="00A420A6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Roberto Ubbidiente (Humboldt-</w:t>
      </w:r>
      <w:proofErr w:type="spellStart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Universität</w:t>
      </w:r>
      <w:proofErr w:type="spellEnd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zu</w:t>
      </w:r>
      <w:proofErr w:type="spellEnd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Berlin</w:t>
      </w:r>
      <w:proofErr w:type="spellEnd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Alemania</w:t>
      </w:r>
      <w:proofErr w:type="spellEnd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</w:p>
    <w:p w14:paraId="43C60FF8" w14:textId="30FE921E" w:rsidR="00A420A6" w:rsidRPr="00E04972" w:rsidRDefault="00A420A6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Rita Salomé Varela Andrade Rodrigues </w:t>
      </w:r>
      <w:proofErr w:type="spellStart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Baleiro</w:t>
      </w:r>
      <w:proofErr w:type="spellEnd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Univers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idade</w:t>
      </w:r>
      <w:proofErr w:type="spellEnd"/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do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Algarve, </w:t>
      </w:r>
      <w:proofErr w:type="spellStart"/>
      <w:r w:rsidR="00B058FC">
        <w:rPr>
          <w:rFonts w:ascii="Garamond" w:hAnsi="Garamond"/>
          <w:color w:val="000000"/>
          <w:sz w:val="24"/>
          <w:szCs w:val="24"/>
          <w:shd w:val="clear" w:color="auto" w:fill="FFFFFF"/>
        </w:rPr>
        <w:t>CiTUR</w:t>
      </w:r>
      <w:proofErr w:type="spellEnd"/>
      <w:r w:rsidR="00B058FC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Portugal)</w:t>
      </w:r>
    </w:p>
    <w:p w14:paraId="485DD99C" w14:textId="35928C5B" w:rsidR="004A5141" w:rsidRDefault="00A420A6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Walter </w:t>
      </w:r>
      <w:proofErr w:type="spellStart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Zidaric</w:t>
      </w:r>
      <w:proofErr w:type="spellEnd"/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Nantes Université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, Franc</w:t>
      </w:r>
      <w:r w:rsidR="006133E2">
        <w:rPr>
          <w:rFonts w:ascii="Garamond" w:hAnsi="Garamond"/>
          <w:color w:val="000000"/>
          <w:sz w:val="24"/>
          <w:szCs w:val="24"/>
          <w:shd w:val="clear" w:color="auto" w:fill="FFFFFF"/>
        </w:rPr>
        <w:t>ia</w:t>
      </w:r>
      <w:r w:rsidRPr="00E04972">
        <w:rPr>
          <w:rFonts w:ascii="Garamond" w:hAnsi="Garamond"/>
          <w:color w:val="000000"/>
          <w:sz w:val="24"/>
          <w:szCs w:val="24"/>
          <w:shd w:val="clear" w:color="auto" w:fill="FFFFFF"/>
        </w:rPr>
        <w:t>).</w:t>
      </w:r>
    </w:p>
    <w:p w14:paraId="55E2E58B" w14:textId="77777777" w:rsidR="00D2084E" w:rsidRDefault="00D2084E" w:rsidP="00A420A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4DB8C21A" w14:textId="77777777" w:rsidR="00D2084E" w:rsidRPr="003479CA" w:rsidRDefault="00D2084E" w:rsidP="00D208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Los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socios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del Centro TULE son</w:t>
      </w:r>
    </w:p>
    <w:p w14:paraId="43FB32EA" w14:textId="77777777" w:rsidR="00D2084E" w:rsidRPr="003479CA" w:rsidRDefault="00D2084E" w:rsidP="00D208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Centro de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Estudios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Románicos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Aixois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(CAER) de la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Universidad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 Aix-Marsella,</w:t>
      </w:r>
    </w:p>
    <w:p w14:paraId="16DD2230" w14:textId="77777777" w:rsidR="00D2084E" w:rsidRPr="003479CA" w:rsidRDefault="00D2084E" w:rsidP="00D208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Centro de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Investigación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Desarrollo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Innovación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Turística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CiTUR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),</w:t>
      </w:r>
    </w:p>
    <w:p w14:paraId="3C75437C" w14:textId="77777777" w:rsidR="00D2084E" w:rsidRPr="003479CA" w:rsidRDefault="00D2084E" w:rsidP="00D208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Fundación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Uniser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Pistoia,</w:t>
      </w:r>
    </w:p>
    <w:p w14:paraId="43DC525A" w14:textId="15146E5A" w:rsidR="00D2084E" w:rsidRPr="00E04972" w:rsidRDefault="00D2084E" w:rsidP="00D2084E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Fundación</w:t>
      </w:r>
      <w:proofErr w:type="spellEnd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Margherita para la Cultura Italiana de </w:t>
      </w:r>
      <w:proofErr w:type="spellStart"/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Sión</w:t>
      </w:r>
      <w:proofErr w:type="spellEnd"/>
      <w:r w:rsidR="003479CA"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(CH)</w:t>
      </w:r>
      <w:r w:rsidRPr="003479CA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57A1FF17" w14:textId="77777777" w:rsidR="004A5141" w:rsidRPr="00E04972" w:rsidRDefault="004A5141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31193768" w14:textId="77777777" w:rsidR="00C36347" w:rsidRPr="00E04972" w:rsidRDefault="00C36347" w:rsidP="000302E2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3E6701F0" w14:textId="77777777" w:rsidR="000302E2" w:rsidRPr="00E04972" w:rsidRDefault="000302E2" w:rsidP="000302E2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sectPr w:rsidR="000302E2" w:rsidRPr="00E04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ABC"/>
    <w:multiLevelType w:val="hybridMultilevel"/>
    <w:tmpl w:val="2BE8BEDA"/>
    <w:lvl w:ilvl="0" w:tplc="DBB0A004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A6D35CC"/>
    <w:multiLevelType w:val="hybridMultilevel"/>
    <w:tmpl w:val="09160DEA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3B3706A"/>
    <w:multiLevelType w:val="hybridMultilevel"/>
    <w:tmpl w:val="A2F41DA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97885954">
    <w:abstractNumId w:val="2"/>
  </w:num>
  <w:num w:numId="2" w16cid:durableId="1334643741">
    <w:abstractNumId w:val="0"/>
  </w:num>
  <w:num w:numId="3" w16cid:durableId="51396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xNDG1sDQzNDU2MDdS0lEKTi0uzszPAykwqgUAj4KhMiwAAAA="/>
  </w:docVars>
  <w:rsids>
    <w:rsidRoot w:val="00AE6FBF"/>
    <w:rsid w:val="00004365"/>
    <w:rsid w:val="00004538"/>
    <w:rsid w:val="000302E2"/>
    <w:rsid w:val="00044CAC"/>
    <w:rsid w:val="0006618C"/>
    <w:rsid w:val="000676CD"/>
    <w:rsid w:val="000E7EFA"/>
    <w:rsid w:val="000F246D"/>
    <w:rsid w:val="001727FC"/>
    <w:rsid w:val="001728D4"/>
    <w:rsid w:val="001C42B4"/>
    <w:rsid w:val="001C69DC"/>
    <w:rsid w:val="002163DF"/>
    <w:rsid w:val="0023045F"/>
    <w:rsid w:val="0023261B"/>
    <w:rsid w:val="0024415E"/>
    <w:rsid w:val="002724DD"/>
    <w:rsid w:val="00284150"/>
    <w:rsid w:val="002E4948"/>
    <w:rsid w:val="002F0C39"/>
    <w:rsid w:val="002F70C2"/>
    <w:rsid w:val="00317166"/>
    <w:rsid w:val="003479CA"/>
    <w:rsid w:val="00361A5C"/>
    <w:rsid w:val="00391478"/>
    <w:rsid w:val="00394A54"/>
    <w:rsid w:val="003A72E4"/>
    <w:rsid w:val="003D66CD"/>
    <w:rsid w:val="003E1D96"/>
    <w:rsid w:val="003F4A95"/>
    <w:rsid w:val="003F5892"/>
    <w:rsid w:val="0041294B"/>
    <w:rsid w:val="00421A0C"/>
    <w:rsid w:val="0042533A"/>
    <w:rsid w:val="004528B6"/>
    <w:rsid w:val="00460B07"/>
    <w:rsid w:val="0047292C"/>
    <w:rsid w:val="00474ED5"/>
    <w:rsid w:val="0049629B"/>
    <w:rsid w:val="004962C0"/>
    <w:rsid w:val="004A5141"/>
    <w:rsid w:val="004C783A"/>
    <w:rsid w:val="0050197C"/>
    <w:rsid w:val="00515254"/>
    <w:rsid w:val="0055265E"/>
    <w:rsid w:val="00591758"/>
    <w:rsid w:val="005968AC"/>
    <w:rsid w:val="005B7597"/>
    <w:rsid w:val="005F5E64"/>
    <w:rsid w:val="00611929"/>
    <w:rsid w:val="006133E2"/>
    <w:rsid w:val="00614642"/>
    <w:rsid w:val="00645534"/>
    <w:rsid w:val="0067022E"/>
    <w:rsid w:val="006844D4"/>
    <w:rsid w:val="00694000"/>
    <w:rsid w:val="006A02E5"/>
    <w:rsid w:val="006A4971"/>
    <w:rsid w:val="006A645A"/>
    <w:rsid w:val="006C0490"/>
    <w:rsid w:val="006E387D"/>
    <w:rsid w:val="006F476E"/>
    <w:rsid w:val="00710E4E"/>
    <w:rsid w:val="00727C21"/>
    <w:rsid w:val="0076109F"/>
    <w:rsid w:val="00797338"/>
    <w:rsid w:val="007E5ACF"/>
    <w:rsid w:val="007F068D"/>
    <w:rsid w:val="00813578"/>
    <w:rsid w:val="0081556C"/>
    <w:rsid w:val="00822FAF"/>
    <w:rsid w:val="00845A25"/>
    <w:rsid w:val="00846F04"/>
    <w:rsid w:val="0085209C"/>
    <w:rsid w:val="00893D56"/>
    <w:rsid w:val="008B3FC0"/>
    <w:rsid w:val="008D24F8"/>
    <w:rsid w:val="00911036"/>
    <w:rsid w:val="00955AA4"/>
    <w:rsid w:val="009845D9"/>
    <w:rsid w:val="009C1D7E"/>
    <w:rsid w:val="009E6753"/>
    <w:rsid w:val="00A31107"/>
    <w:rsid w:val="00A37F06"/>
    <w:rsid w:val="00A420A6"/>
    <w:rsid w:val="00A468F6"/>
    <w:rsid w:val="00A60410"/>
    <w:rsid w:val="00A71A8D"/>
    <w:rsid w:val="00A752FF"/>
    <w:rsid w:val="00A95B58"/>
    <w:rsid w:val="00A95BB6"/>
    <w:rsid w:val="00AB5ABC"/>
    <w:rsid w:val="00AE6FBF"/>
    <w:rsid w:val="00B058FC"/>
    <w:rsid w:val="00B16EF3"/>
    <w:rsid w:val="00B53FAE"/>
    <w:rsid w:val="00B85C07"/>
    <w:rsid w:val="00BA1C6D"/>
    <w:rsid w:val="00BC25F4"/>
    <w:rsid w:val="00BC6218"/>
    <w:rsid w:val="00BD5EF7"/>
    <w:rsid w:val="00BE524F"/>
    <w:rsid w:val="00C055C6"/>
    <w:rsid w:val="00C233C2"/>
    <w:rsid w:val="00C25F73"/>
    <w:rsid w:val="00C36347"/>
    <w:rsid w:val="00C47CF1"/>
    <w:rsid w:val="00C54472"/>
    <w:rsid w:val="00CA7D5E"/>
    <w:rsid w:val="00CC7635"/>
    <w:rsid w:val="00D04309"/>
    <w:rsid w:val="00D12610"/>
    <w:rsid w:val="00D2084E"/>
    <w:rsid w:val="00D245CB"/>
    <w:rsid w:val="00D425B9"/>
    <w:rsid w:val="00D56427"/>
    <w:rsid w:val="00D56536"/>
    <w:rsid w:val="00D83A53"/>
    <w:rsid w:val="00D85D5A"/>
    <w:rsid w:val="00DA454A"/>
    <w:rsid w:val="00DB77EF"/>
    <w:rsid w:val="00DE1768"/>
    <w:rsid w:val="00DF2F6D"/>
    <w:rsid w:val="00E04972"/>
    <w:rsid w:val="00E338A4"/>
    <w:rsid w:val="00E4496A"/>
    <w:rsid w:val="00E47C17"/>
    <w:rsid w:val="00E60F70"/>
    <w:rsid w:val="00E657BE"/>
    <w:rsid w:val="00ED64D4"/>
    <w:rsid w:val="00EE4CFD"/>
    <w:rsid w:val="00EE6A2D"/>
    <w:rsid w:val="00EF66EE"/>
    <w:rsid w:val="00F15A09"/>
    <w:rsid w:val="00F165DD"/>
    <w:rsid w:val="00F24505"/>
    <w:rsid w:val="00F3182B"/>
    <w:rsid w:val="00F52F78"/>
    <w:rsid w:val="00F56D62"/>
    <w:rsid w:val="00F57C0A"/>
    <w:rsid w:val="00FD75F0"/>
    <w:rsid w:val="00FE51C5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B4AD5"/>
  <w15:chartTrackingRefBased/>
  <w15:docId w15:val="{2F4228A5-2969-4D1F-ADAA-039F9F16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2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246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1A5C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C2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25F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Policepardfaut"/>
    <w:rsid w:val="00BC25F4"/>
  </w:style>
  <w:style w:type="character" w:customStyle="1" w:styleId="Titre2Car">
    <w:name w:val="Titre 2 Car"/>
    <w:basedOn w:val="Policepardfaut"/>
    <w:link w:val="Titre2"/>
    <w:uiPriority w:val="9"/>
    <w:rsid w:val="004528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E338A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4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strapg.it/it/ricerca/ricerca/dipartimenti-e-centri/centro-sul-turismo-letterario-t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4384</Characters>
  <Application>Microsoft Office Word</Application>
  <DocSecurity>0</DocSecurity>
  <Lines>36</Lines>
  <Paragraphs>10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Capecchi</dc:creator>
  <cp:keywords/>
  <dc:description/>
  <cp:lastModifiedBy>Matteo Pedroni</cp:lastModifiedBy>
  <cp:revision>3</cp:revision>
  <dcterms:created xsi:type="dcterms:W3CDTF">2025-01-21T10:21:00Z</dcterms:created>
  <dcterms:modified xsi:type="dcterms:W3CDTF">2025-01-30T08:01:00Z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a52b6b9a74ada0ce786880a0d3fc98ea3c34384183cce1af457ebdded929fff2</vt:lpwstr>
  </property>
</Properties>
</file>