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CE6" w:rsidRPr="00E8094C" w:rsidRDefault="00E8094C" w:rsidP="00DE7298">
      <w:pPr>
        <w:jc w:val="both"/>
        <w:rPr>
          <w:b/>
        </w:rPr>
      </w:pPr>
      <w:r w:rsidRPr="00E8094C">
        <w:rPr>
          <w:rFonts w:ascii="Tahoma" w:hAnsi="Tahoma" w:cs="Tahoma"/>
          <w:b/>
        </w:rPr>
        <w:t>Programmazione triennale 2013/2015 - Monitoraggio target annuale 2014. Validazione dati mancanti per indicatori PRO3 (nota MIUR prot. 5094 del 28.04.2015)</w:t>
      </w:r>
    </w:p>
    <w:p w:rsidR="00BD5CE6" w:rsidRDefault="00BD5CE6" w:rsidP="00DE7298">
      <w:pPr>
        <w:jc w:val="both"/>
      </w:pPr>
    </w:p>
    <w:p w:rsidR="00CC620B" w:rsidRDefault="00DE7298" w:rsidP="00DE7298">
      <w:pPr>
        <w:jc w:val="both"/>
      </w:pPr>
      <w:r>
        <w:t xml:space="preserve">Come previsto dal Decreto Ministeriale relativo </w:t>
      </w:r>
      <w:r w:rsidRPr="003C7682">
        <w:t>alle</w:t>
      </w:r>
      <w:r w:rsidR="0008766A" w:rsidRPr="003C7682">
        <w:t xml:space="preserve"> </w:t>
      </w:r>
      <w:r w:rsidR="0008766A" w:rsidRPr="003C7682">
        <w:rPr>
          <w:i/>
        </w:rPr>
        <w:t>“L</w:t>
      </w:r>
      <w:r w:rsidRPr="003C7682">
        <w:rPr>
          <w:i/>
        </w:rPr>
        <w:t xml:space="preserve">inee generali di indirizzo della programmazione </w:t>
      </w:r>
      <w:r w:rsidR="0008766A" w:rsidRPr="003C7682">
        <w:rPr>
          <w:i/>
        </w:rPr>
        <w:t>delle Università per il triennio 2013-2015”</w:t>
      </w:r>
      <w:r w:rsidRPr="003C7682">
        <w:t xml:space="preserve"> (D.M. 827/2013, art. 4</w:t>
      </w:r>
      <w:r w:rsidR="0008766A" w:rsidRPr="003C7682">
        <w:t>,</w:t>
      </w:r>
      <w:r w:rsidRPr="003C7682">
        <w:t xml:space="preserve"> c. 4), è stata avviata dal MIUR la procedura di monitoraggio dei risultati conseguiti nella realizzazione</w:t>
      </w:r>
      <w:r>
        <w:t xml:space="preserve"> dei programmi triennali delle Università, con riferimento all’anno 2014, che daranno luogo all’assegnazione definitiva del 50% delle risorse previste per l’anno in esame.</w:t>
      </w:r>
      <w:r w:rsidR="00B17ABD">
        <w:t xml:space="preserve"> Il Nucleo procede alla validazione dei risultati conseguiti dall’</w:t>
      </w:r>
      <w:r w:rsidR="00D34DBE">
        <w:t>A</w:t>
      </w:r>
      <w:r w:rsidR="00B17ABD">
        <w:t xml:space="preserve">teneo di Perugia </w:t>
      </w:r>
      <w:r w:rsidR="00D34DBE">
        <w:t>S</w:t>
      </w:r>
      <w:r w:rsidR="00B17ABD">
        <w:t>tranieri</w:t>
      </w:r>
      <w:r w:rsidR="00D34DBE">
        <w:t>,</w:t>
      </w:r>
      <w:r w:rsidR="00B17ABD">
        <w:t xml:space="preserve"> relativamente agli indicatori ministeriali che non sono automaticamente reperibili nelle banche dati ministeriali.</w:t>
      </w:r>
    </w:p>
    <w:p w:rsidR="00DE7298" w:rsidRDefault="00DE7298" w:rsidP="00DE7298">
      <w:pPr>
        <w:jc w:val="both"/>
      </w:pPr>
      <w:r>
        <w:t>L’Ateneo</w:t>
      </w:r>
      <w:r w:rsidR="00E8094C">
        <w:t>,</w:t>
      </w:r>
      <w:r w:rsidR="00826C18">
        <w:t xml:space="preserve"> </w:t>
      </w:r>
      <w:r>
        <w:t>entro la data del 30 giugno 2015</w:t>
      </w:r>
      <w:r w:rsidR="003D3361">
        <w:t>,</w:t>
      </w:r>
      <w:r>
        <w:t xml:space="preserve"> dovrà inserire nella </w:t>
      </w:r>
      <w:r w:rsidR="00BD4D3C">
        <w:t>procedura informatica dedicata (</w:t>
      </w:r>
      <w:r>
        <w:t>PRO3</w:t>
      </w:r>
      <w:r w:rsidR="00BD4D3C">
        <w:t xml:space="preserve">), </w:t>
      </w:r>
      <w:r w:rsidR="003F3A09">
        <w:t>le informazioni mancanti</w:t>
      </w:r>
      <w:r w:rsidR="003D3361">
        <w:t xml:space="preserve"> </w:t>
      </w:r>
      <w:r w:rsidR="003F3A09">
        <w:t>per le quali è necessaria la preventiva validazione del Nucleo di Valutazione.</w:t>
      </w:r>
    </w:p>
    <w:p w:rsidR="00B17ABD" w:rsidRDefault="00B17ABD" w:rsidP="00DE7298">
      <w:pPr>
        <w:jc w:val="both"/>
      </w:pPr>
      <w:r>
        <w:t>Di seguito</w:t>
      </w:r>
      <w:r w:rsidR="003D3361">
        <w:t>,</w:t>
      </w:r>
      <w:r>
        <w:t xml:space="preserve"> sono riportati gli indicatori e i relativi target per cui è prevista la validazione da parte del Nucleo per l’anno 2014.</w:t>
      </w:r>
    </w:p>
    <w:p w:rsidR="00436370" w:rsidRDefault="00436370" w:rsidP="00DE7298">
      <w:pPr>
        <w:jc w:val="both"/>
      </w:pPr>
    </w:p>
    <w:tbl>
      <w:tblPr>
        <w:tblW w:w="5000" w:type="pct"/>
        <w:tblLayout w:type="fixed"/>
        <w:tblCellMar>
          <w:left w:w="70" w:type="dxa"/>
          <w:right w:w="70" w:type="dxa"/>
        </w:tblCellMar>
        <w:tblLook w:val="04A0" w:firstRow="1" w:lastRow="0" w:firstColumn="1" w:lastColumn="0" w:noHBand="0" w:noVBand="1"/>
      </w:tblPr>
      <w:tblGrid>
        <w:gridCol w:w="924"/>
        <w:gridCol w:w="2549"/>
        <w:gridCol w:w="1275"/>
        <w:gridCol w:w="2836"/>
        <w:gridCol w:w="991"/>
        <w:gridCol w:w="1203"/>
      </w:tblGrid>
      <w:tr w:rsidR="00436370" w:rsidRPr="003F3A09" w:rsidTr="00436370">
        <w:trPr>
          <w:trHeight w:val="720"/>
        </w:trPr>
        <w:tc>
          <w:tcPr>
            <w:tcW w:w="472" w:type="pct"/>
            <w:tcBorders>
              <w:top w:val="single" w:sz="4" w:space="0" w:color="auto"/>
              <w:left w:val="single" w:sz="4" w:space="0" w:color="auto"/>
              <w:bottom w:val="single" w:sz="4" w:space="0" w:color="auto"/>
              <w:right w:val="single" w:sz="4" w:space="0" w:color="auto"/>
            </w:tcBorders>
            <w:shd w:val="clear" w:color="000000" w:fill="548DD4" w:themeFill="text2" w:themeFillTint="99"/>
            <w:vAlign w:val="center"/>
            <w:hideMark/>
          </w:tcPr>
          <w:p w:rsidR="003F3A09" w:rsidRPr="003F3A09" w:rsidRDefault="003F3A09" w:rsidP="003F3A09">
            <w:pPr>
              <w:spacing w:after="0" w:line="240" w:lineRule="auto"/>
              <w:jc w:val="center"/>
              <w:rPr>
                <w:rFonts w:ascii="Arial" w:eastAsia="Times New Roman" w:hAnsi="Arial" w:cs="Arial"/>
                <w:b/>
                <w:bCs/>
                <w:color w:val="FFFFFF"/>
                <w:sz w:val="18"/>
                <w:szCs w:val="18"/>
                <w:lang w:eastAsia="it-IT"/>
              </w:rPr>
            </w:pPr>
            <w:r w:rsidRPr="003F3A09">
              <w:rPr>
                <w:rFonts w:ascii="Arial" w:eastAsia="Times New Roman" w:hAnsi="Arial" w:cs="Arial"/>
                <w:b/>
                <w:bCs/>
                <w:color w:val="FFFFFF"/>
                <w:sz w:val="18"/>
                <w:szCs w:val="18"/>
                <w:lang w:eastAsia="it-IT"/>
              </w:rPr>
              <w:t>ID. LINEA</w:t>
            </w:r>
          </w:p>
        </w:tc>
        <w:tc>
          <w:tcPr>
            <w:tcW w:w="1303" w:type="pct"/>
            <w:tcBorders>
              <w:top w:val="single" w:sz="4" w:space="0" w:color="auto"/>
              <w:left w:val="nil"/>
              <w:bottom w:val="single" w:sz="4" w:space="0" w:color="auto"/>
              <w:right w:val="single" w:sz="4" w:space="0" w:color="auto"/>
            </w:tcBorders>
            <w:shd w:val="clear" w:color="000000" w:fill="548DD4" w:themeFill="text2" w:themeFillTint="99"/>
            <w:vAlign w:val="center"/>
            <w:hideMark/>
          </w:tcPr>
          <w:p w:rsidR="003F3A09" w:rsidRPr="003F3A09" w:rsidRDefault="003F3A09" w:rsidP="003F3A09">
            <w:pPr>
              <w:spacing w:after="0" w:line="240" w:lineRule="auto"/>
              <w:rPr>
                <w:rFonts w:ascii="Arial" w:eastAsia="Times New Roman" w:hAnsi="Arial" w:cs="Arial"/>
                <w:b/>
                <w:bCs/>
                <w:color w:val="FFFFFF"/>
                <w:sz w:val="18"/>
                <w:szCs w:val="18"/>
                <w:lang w:eastAsia="it-IT"/>
              </w:rPr>
            </w:pPr>
            <w:r w:rsidRPr="003F3A09">
              <w:rPr>
                <w:rFonts w:ascii="Arial" w:eastAsia="Times New Roman" w:hAnsi="Arial" w:cs="Arial"/>
                <w:b/>
                <w:bCs/>
                <w:color w:val="FFFFFF"/>
                <w:sz w:val="18"/>
                <w:szCs w:val="18"/>
                <w:lang w:eastAsia="it-IT"/>
              </w:rPr>
              <w:t>LINEA DI INTERVENTO</w:t>
            </w:r>
          </w:p>
        </w:tc>
        <w:tc>
          <w:tcPr>
            <w:tcW w:w="652" w:type="pct"/>
            <w:tcBorders>
              <w:top w:val="single" w:sz="4" w:space="0" w:color="auto"/>
              <w:left w:val="nil"/>
              <w:bottom w:val="single" w:sz="4" w:space="0" w:color="auto"/>
              <w:right w:val="single" w:sz="4" w:space="0" w:color="auto"/>
            </w:tcBorders>
            <w:shd w:val="clear" w:color="000000" w:fill="548DD4" w:themeFill="text2" w:themeFillTint="99"/>
            <w:vAlign w:val="center"/>
            <w:hideMark/>
          </w:tcPr>
          <w:p w:rsidR="003F3A09" w:rsidRPr="003F3A09" w:rsidRDefault="003F3A09" w:rsidP="003F3A09">
            <w:pPr>
              <w:spacing w:after="0" w:line="240" w:lineRule="auto"/>
              <w:jc w:val="center"/>
              <w:rPr>
                <w:rFonts w:ascii="Arial" w:eastAsia="Times New Roman" w:hAnsi="Arial" w:cs="Arial"/>
                <w:b/>
                <w:bCs/>
                <w:color w:val="FFFFFF"/>
                <w:sz w:val="18"/>
                <w:szCs w:val="18"/>
                <w:lang w:eastAsia="it-IT"/>
              </w:rPr>
            </w:pPr>
            <w:r w:rsidRPr="003F3A09">
              <w:rPr>
                <w:rFonts w:ascii="Arial" w:eastAsia="Times New Roman" w:hAnsi="Arial" w:cs="Arial"/>
                <w:b/>
                <w:bCs/>
                <w:color w:val="FFFFFF"/>
                <w:sz w:val="18"/>
                <w:szCs w:val="18"/>
                <w:lang w:eastAsia="it-IT"/>
              </w:rPr>
              <w:t>INDICATORE</w:t>
            </w:r>
          </w:p>
        </w:tc>
        <w:tc>
          <w:tcPr>
            <w:tcW w:w="1450" w:type="pct"/>
            <w:tcBorders>
              <w:top w:val="single" w:sz="4" w:space="0" w:color="auto"/>
              <w:left w:val="nil"/>
              <w:bottom w:val="single" w:sz="4" w:space="0" w:color="auto"/>
              <w:right w:val="single" w:sz="4" w:space="0" w:color="auto"/>
            </w:tcBorders>
            <w:shd w:val="clear" w:color="000000" w:fill="548DD4" w:themeFill="text2" w:themeFillTint="99"/>
            <w:vAlign w:val="center"/>
            <w:hideMark/>
          </w:tcPr>
          <w:p w:rsidR="003F3A09" w:rsidRPr="003F3A09" w:rsidRDefault="003F3A09" w:rsidP="003F3A09">
            <w:pPr>
              <w:spacing w:after="0" w:line="240" w:lineRule="auto"/>
              <w:rPr>
                <w:rFonts w:ascii="Arial" w:eastAsia="Times New Roman" w:hAnsi="Arial" w:cs="Arial"/>
                <w:b/>
                <w:bCs/>
                <w:color w:val="FFFFFF"/>
                <w:sz w:val="18"/>
                <w:szCs w:val="18"/>
                <w:lang w:eastAsia="it-IT"/>
              </w:rPr>
            </w:pPr>
            <w:r w:rsidRPr="003F3A09">
              <w:rPr>
                <w:rFonts w:ascii="Arial" w:eastAsia="Times New Roman" w:hAnsi="Arial" w:cs="Arial"/>
                <w:b/>
                <w:bCs/>
                <w:color w:val="FFFFFF"/>
                <w:sz w:val="18"/>
                <w:szCs w:val="18"/>
                <w:lang w:eastAsia="it-IT"/>
              </w:rPr>
              <w:t>DESCRIZIONE INDICATORE</w:t>
            </w:r>
          </w:p>
        </w:tc>
        <w:tc>
          <w:tcPr>
            <w:tcW w:w="507" w:type="pct"/>
            <w:tcBorders>
              <w:top w:val="single" w:sz="4" w:space="0" w:color="auto"/>
              <w:left w:val="nil"/>
              <w:bottom w:val="single" w:sz="4" w:space="0" w:color="auto"/>
              <w:right w:val="single" w:sz="4" w:space="0" w:color="auto"/>
            </w:tcBorders>
            <w:shd w:val="clear" w:color="000000" w:fill="548DD4" w:themeFill="text2" w:themeFillTint="99"/>
            <w:vAlign w:val="center"/>
            <w:hideMark/>
          </w:tcPr>
          <w:p w:rsidR="003F3A09" w:rsidRPr="003F3A09" w:rsidRDefault="003F3A09" w:rsidP="003F3A09">
            <w:pPr>
              <w:spacing w:after="0" w:line="240" w:lineRule="auto"/>
              <w:jc w:val="center"/>
              <w:rPr>
                <w:rFonts w:ascii="Arial" w:eastAsia="Times New Roman" w:hAnsi="Arial" w:cs="Arial"/>
                <w:b/>
                <w:bCs/>
                <w:color w:val="FFFFFF"/>
                <w:sz w:val="18"/>
                <w:szCs w:val="18"/>
                <w:lang w:eastAsia="it-IT"/>
              </w:rPr>
            </w:pPr>
            <w:r w:rsidRPr="003F3A09">
              <w:rPr>
                <w:rFonts w:ascii="Arial" w:eastAsia="Times New Roman" w:hAnsi="Arial" w:cs="Arial"/>
                <w:b/>
                <w:bCs/>
                <w:color w:val="FFFFFF"/>
                <w:sz w:val="18"/>
                <w:szCs w:val="18"/>
                <w:lang w:eastAsia="it-IT"/>
              </w:rPr>
              <w:t>TARGET 2014</w:t>
            </w:r>
          </w:p>
        </w:tc>
        <w:tc>
          <w:tcPr>
            <w:tcW w:w="615" w:type="pct"/>
            <w:tcBorders>
              <w:top w:val="single" w:sz="4" w:space="0" w:color="auto"/>
              <w:left w:val="nil"/>
              <w:bottom w:val="single" w:sz="4" w:space="0" w:color="auto"/>
              <w:right w:val="single" w:sz="4" w:space="0" w:color="auto"/>
            </w:tcBorders>
            <w:shd w:val="clear" w:color="000000" w:fill="548DD4" w:themeFill="text2" w:themeFillTint="99"/>
            <w:vAlign w:val="center"/>
            <w:hideMark/>
          </w:tcPr>
          <w:p w:rsidR="003F3A09" w:rsidRPr="003F3A09" w:rsidRDefault="003F3A09" w:rsidP="003F3A09">
            <w:pPr>
              <w:spacing w:after="0" w:line="240" w:lineRule="auto"/>
              <w:jc w:val="center"/>
              <w:rPr>
                <w:rFonts w:ascii="Arial" w:eastAsia="Times New Roman" w:hAnsi="Arial" w:cs="Arial"/>
                <w:b/>
                <w:bCs/>
                <w:color w:val="FFFFFF"/>
                <w:sz w:val="18"/>
                <w:szCs w:val="18"/>
                <w:lang w:eastAsia="it-IT"/>
              </w:rPr>
            </w:pPr>
            <w:r w:rsidRPr="003F3A09">
              <w:rPr>
                <w:rFonts w:ascii="Arial" w:eastAsia="Times New Roman" w:hAnsi="Arial" w:cs="Arial"/>
                <w:b/>
                <w:bCs/>
                <w:color w:val="FFFFFF"/>
                <w:sz w:val="18"/>
                <w:szCs w:val="18"/>
                <w:lang w:eastAsia="it-IT"/>
              </w:rPr>
              <w:t>RISULTATO 2014</w:t>
            </w:r>
          </w:p>
        </w:tc>
      </w:tr>
      <w:tr w:rsidR="00436370" w:rsidRPr="003F3A09" w:rsidTr="00436370">
        <w:trPr>
          <w:trHeight w:val="791"/>
        </w:trPr>
        <w:tc>
          <w:tcPr>
            <w:tcW w:w="472" w:type="pct"/>
            <w:tcBorders>
              <w:top w:val="nil"/>
              <w:left w:val="single" w:sz="4" w:space="0" w:color="auto"/>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right"/>
              <w:rPr>
                <w:rFonts w:ascii="Arial" w:eastAsia="Times New Roman" w:hAnsi="Arial" w:cs="Arial"/>
                <w:sz w:val="18"/>
                <w:szCs w:val="18"/>
                <w:lang w:eastAsia="it-IT"/>
              </w:rPr>
            </w:pPr>
            <w:r w:rsidRPr="003F3A09">
              <w:rPr>
                <w:rFonts w:ascii="Arial" w:eastAsia="Times New Roman" w:hAnsi="Arial" w:cs="Arial"/>
                <w:sz w:val="18"/>
                <w:szCs w:val="18"/>
                <w:lang w:eastAsia="it-IT"/>
              </w:rPr>
              <w:t>1_1_b</w:t>
            </w:r>
          </w:p>
        </w:tc>
        <w:tc>
          <w:tcPr>
            <w:tcW w:w="1303"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rPr>
                <w:rFonts w:ascii="Arial" w:eastAsia="Times New Roman" w:hAnsi="Arial" w:cs="Arial"/>
                <w:sz w:val="18"/>
                <w:szCs w:val="18"/>
                <w:lang w:eastAsia="it-IT"/>
              </w:rPr>
            </w:pPr>
            <w:r w:rsidRPr="003F3A09">
              <w:rPr>
                <w:rFonts w:ascii="Arial" w:eastAsia="Times New Roman" w:hAnsi="Arial" w:cs="Arial"/>
                <w:sz w:val="18"/>
                <w:szCs w:val="18"/>
                <w:lang w:eastAsia="it-IT"/>
              </w:rPr>
              <w:t>Dematerializzazione dei processi amministrativi per i servizi agli studenti</w:t>
            </w:r>
          </w:p>
        </w:tc>
        <w:tc>
          <w:tcPr>
            <w:tcW w:w="652"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center"/>
              <w:rPr>
                <w:rFonts w:ascii="Arial" w:eastAsia="Times New Roman" w:hAnsi="Arial" w:cs="Arial"/>
                <w:sz w:val="18"/>
                <w:szCs w:val="18"/>
                <w:lang w:eastAsia="it-IT"/>
              </w:rPr>
            </w:pPr>
            <w:r w:rsidRPr="003F3A09">
              <w:rPr>
                <w:rFonts w:ascii="Arial" w:eastAsia="Times New Roman" w:hAnsi="Arial" w:cs="Arial"/>
                <w:sz w:val="18"/>
                <w:szCs w:val="18"/>
                <w:lang w:eastAsia="it-IT"/>
              </w:rPr>
              <w:t>1_1_b_1</w:t>
            </w:r>
          </w:p>
        </w:tc>
        <w:tc>
          <w:tcPr>
            <w:tcW w:w="1450"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rPr>
                <w:rFonts w:ascii="Arial" w:eastAsia="Times New Roman" w:hAnsi="Arial" w:cs="Arial"/>
                <w:sz w:val="18"/>
                <w:szCs w:val="18"/>
                <w:lang w:eastAsia="it-IT"/>
              </w:rPr>
            </w:pPr>
            <w:r w:rsidRPr="003F3A09">
              <w:rPr>
                <w:rFonts w:ascii="Arial" w:eastAsia="Times New Roman" w:hAnsi="Arial" w:cs="Arial"/>
                <w:sz w:val="18"/>
                <w:szCs w:val="18"/>
                <w:lang w:eastAsia="it-IT"/>
              </w:rPr>
              <w:t>Numero di processi amministrativi dematerializzati</w:t>
            </w:r>
          </w:p>
        </w:tc>
        <w:tc>
          <w:tcPr>
            <w:tcW w:w="507"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right"/>
              <w:rPr>
                <w:rFonts w:ascii="Arial" w:eastAsia="Times New Roman" w:hAnsi="Arial" w:cs="Arial"/>
                <w:sz w:val="18"/>
                <w:szCs w:val="18"/>
                <w:lang w:eastAsia="it-IT"/>
              </w:rPr>
            </w:pPr>
            <w:r w:rsidRPr="003F3A09">
              <w:rPr>
                <w:rFonts w:ascii="Arial" w:eastAsia="Times New Roman" w:hAnsi="Arial" w:cs="Arial"/>
                <w:sz w:val="18"/>
                <w:szCs w:val="18"/>
                <w:lang w:eastAsia="it-IT"/>
              </w:rPr>
              <w:t>1</w:t>
            </w:r>
          </w:p>
        </w:tc>
        <w:tc>
          <w:tcPr>
            <w:tcW w:w="615"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right"/>
              <w:rPr>
                <w:rFonts w:ascii="Arial" w:eastAsia="Times New Roman" w:hAnsi="Arial" w:cs="Arial"/>
                <w:sz w:val="18"/>
                <w:szCs w:val="18"/>
                <w:lang w:eastAsia="it-IT"/>
              </w:rPr>
            </w:pPr>
            <w:r>
              <w:rPr>
                <w:rFonts w:ascii="Arial" w:eastAsia="Times New Roman" w:hAnsi="Arial" w:cs="Arial"/>
                <w:sz w:val="18"/>
                <w:szCs w:val="18"/>
                <w:lang w:eastAsia="it-IT"/>
              </w:rPr>
              <w:t>1</w:t>
            </w:r>
          </w:p>
        </w:tc>
      </w:tr>
      <w:tr w:rsidR="00436370" w:rsidRPr="003F3A09" w:rsidTr="00436370">
        <w:trPr>
          <w:trHeight w:val="987"/>
        </w:trPr>
        <w:tc>
          <w:tcPr>
            <w:tcW w:w="472" w:type="pct"/>
            <w:tcBorders>
              <w:top w:val="nil"/>
              <w:left w:val="single" w:sz="4" w:space="0" w:color="auto"/>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right"/>
              <w:rPr>
                <w:rFonts w:ascii="Arial" w:eastAsia="Times New Roman" w:hAnsi="Arial" w:cs="Arial"/>
                <w:sz w:val="18"/>
                <w:szCs w:val="18"/>
                <w:lang w:eastAsia="it-IT"/>
              </w:rPr>
            </w:pPr>
            <w:r w:rsidRPr="003F3A09">
              <w:rPr>
                <w:rFonts w:ascii="Arial" w:eastAsia="Times New Roman" w:hAnsi="Arial" w:cs="Arial"/>
                <w:sz w:val="18"/>
                <w:szCs w:val="18"/>
                <w:lang w:eastAsia="it-IT"/>
              </w:rPr>
              <w:t>1_1_b</w:t>
            </w:r>
          </w:p>
        </w:tc>
        <w:tc>
          <w:tcPr>
            <w:tcW w:w="1303"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rPr>
                <w:rFonts w:ascii="Arial" w:eastAsia="Times New Roman" w:hAnsi="Arial" w:cs="Arial"/>
                <w:sz w:val="18"/>
                <w:szCs w:val="18"/>
                <w:lang w:eastAsia="it-IT"/>
              </w:rPr>
            </w:pPr>
            <w:r w:rsidRPr="003F3A09">
              <w:rPr>
                <w:rFonts w:ascii="Arial" w:eastAsia="Times New Roman" w:hAnsi="Arial" w:cs="Arial"/>
                <w:sz w:val="18"/>
                <w:szCs w:val="18"/>
                <w:lang w:eastAsia="it-IT"/>
              </w:rPr>
              <w:t>Dematerializzazione dei processi amministrativi per i servizi agli studenti</w:t>
            </w:r>
          </w:p>
        </w:tc>
        <w:tc>
          <w:tcPr>
            <w:tcW w:w="652"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center"/>
              <w:rPr>
                <w:rFonts w:ascii="Arial" w:eastAsia="Times New Roman" w:hAnsi="Arial" w:cs="Arial"/>
                <w:sz w:val="18"/>
                <w:szCs w:val="18"/>
                <w:lang w:eastAsia="it-IT"/>
              </w:rPr>
            </w:pPr>
            <w:r w:rsidRPr="003F3A09">
              <w:rPr>
                <w:rFonts w:ascii="Arial" w:eastAsia="Times New Roman" w:hAnsi="Arial" w:cs="Arial"/>
                <w:sz w:val="18"/>
                <w:szCs w:val="18"/>
                <w:lang w:eastAsia="it-IT"/>
              </w:rPr>
              <w:t>1_1_b_2</w:t>
            </w:r>
          </w:p>
        </w:tc>
        <w:tc>
          <w:tcPr>
            <w:tcW w:w="1450"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rPr>
                <w:rFonts w:ascii="Arial" w:eastAsia="Times New Roman" w:hAnsi="Arial" w:cs="Arial"/>
                <w:sz w:val="18"/>
                <w:szCs w:val="18"/>
                <w:lang w:eastAsia="it-IT"/>
              </w:rPr>
            </w:pPr>
            <w:r w:rsidRPr="003F3A09">
              <w:rPr>
                <w:rFonts w:ascii="Arial" w:eastAsia="Times New Roman" w:hAnsi="Arial" w:cs="Arial"/>
                <w:sz w:val="18"/>
                <w:szCs w:val="18"/>
                <w:lang w:eastAsia="it-IT"/>
              </w:rPr>
              <w:t>Tempi di messa a regime del processo dematerializzato (2014 o 2015)</w:t>
            </w:r>
          </w:p>
        </w:tc>
        <w:tc>
          <w:tcPr>
            <w:tcW w:w="507"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right"/>
              <w:rPr>
                <w:rFonts w:ascii="Arial" w:eastAsia="Times New Roman" w:hAnsi="Arial" w:cs="Arial"/>
                <w:sz w:val="18"/>
                <w:szCs w:val="18"/>
                <w:lang w:eastAsia="it-IT"/>
              </w:rPr>
            </w:pPr>
            <w:r w:rsidRPr="003F3A09">
              <w:rPr>
                <w:rFonts w:ascii="Arial" w:eastAsia="Times New Roman" w:hAnsi="Arial" w:cs="Arial"/>
                <w:sz w:val="18"/>
                <w:szCs w:val="18"/>
                <w:lang w:eastAsia="it-IT"/>
              </w:rPr>
              <w:t>1</w:t>
            </w:r>
          </w:p>
        </w:tc>
        <w:tc>
          <w:tcPr>
            <w:tcW w:w="615"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right"/>
              <w:rPr>
                <w:rFonts w:ascii="Arial" w:eastAsia="Times New Roman" w:hAnsi="Arial" w:cs="Arial"/>
                <w:sz w:val="18"/>
                <w:szCs w:val="18"/>
                <w:lang w:eastAsia="it-IT"/>
              </w:rPr>
            </w:pPr>
            <w:r>
              <w:rPr>
                <w:rFonts w:ascii="Arial" w:eastAsia="Times New Roman" w:hAnsi="Arial" w:cs="Arial"/>
                <w:sz w:val="18"/>
                <w:szCs w:val="18"/>
                <w:lang w:eastAsia="it-IT"/>
              </w:rPr>
              <w:t>1</w:t>
            </w:r>
          </w:p>
        </w:tc>
      </w:tr>
      <w:tr w:rsidR="00436370" w:rsidRPr="003F3A09" w:rsidTr="00436370">
        <w:trPr>
          <w:trHeight w:val="1200"/>
        </w:trPr>
        <w:tc>
          <w:tcPr>
            <w:tcW w:w="472" w:type="pct"/>
            <w:tcBorders>
              <w:top w:val="nil"/>
              <w:left w:val="single" w:sz="4" w:space="0" w:color="auto"/>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right"/>
              <w:rPr>
                <w:rFonts w:ascii="Arial" w:eastAsia="Times New Roman" w:hAnsi="Arial" w:cs="Arial"/>
                <w:sz w:val="18"/>
                <w:szCs w:val="18"/>
                <w:lang w:eastAsia="it-IT"/>
              </w:rPr>
            </w:pPr>
            <w:r w:rsidRPr="003F3A09">
              <w:rPr>
                <w:rFonts w:ascii="Arial" w:eastAsia="Times New Roman" w:hAnsi="Arial" w:cs="Arial"/>
                <w:sz w:val="18"/>
                <w:szCs w:val="18"/>
                <w:lang w:eastAsia="it-IT"/>
              </w:rPr>
              <w:t>1_2_a</w:t>
            </w:r>
          </w:p>
        </w:tc>
        <w:tc>
          <w:tcPr>
            <w:tcW w:w="1303"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rPr>
                <w:rFonts w:ascii="Arial" w:eastAsia="Times New Roman" w:hAnsi="Arial" w:cs="Arial"/>
                <w:sz w:val="18"/>
                <w:szCs w:val="18"/>
                <w:lang w:eastAsia="it-IT"/>
              </w:rPr>
            </w:pPr>
            <w:r w:rsidRPr="003F3A09">
              <w:rPr>
                <w:rFonts w:ascii="Arial" w:eastAsia="Times New Roman" w:hAnsi="Arial" w:cs="Arial"/>
                <w:sz w:val="18"/>
                <w:szCs w:val="18"/>
                <w:lang w:eastAsia="it-IT"/>
              </w:rPr>
              <w:t>Programmazione e realizzazione di obiettivi congiunti tra università ed enti di ricerca</w:t>
            </w:r>
          </w:p>
        </w:tc>
        <w:tc>
          <w:tcPr>
            <w:tcW w:w="652"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center"/>
              <w:rPr>
                <w:rFonts w:ascii="Arial" w:eastAsia="Times New Roman" w:hAnsi="Arial" w:cs="Arial"/>
                <w:sz w:val="18"/>
                <w:szCs w:val="18"/>
                <w:lang w:eastAsia="it-IT"/>
              </w:rPr>
            </w:pPr>
            <w:r w:rsidRPr="003F3A09">
              <w:rPr>
                <w:rFonts w:ascii="Arial" w:eastAsia="Times New Roman" w:hAnsi="Arial" w:cs="Arial"/>
                <w:sz w:val="18"/>
                <w:szCs w:val="18"/>
                <w:lang w:eastAsia="it-IT"/>
              </w:rPr>
              <w:t>1_2_a_3</w:t>
            </w:r>
          </w:p>
        </w:tc>
        <w:tc>
          <w:tcPr>
            <w:tcW w:w="1450"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rPr>
                <w:rFonts w:ascii="Arial" w:eastAsia="Times New Roman" w:hAnsi="Arial" w:cs="Arial"/>
                <w:sz w:val="18"/>
                <w:szCs w:val="18"/>
                <w:lang w:eastAsia="it-IT"/>
              </w:rPr>
            </w:pPr>
            <w:r w:rsidRPr="003F3A09">
              <w:rPr>
                <w:rFonts w:ascii="Arial" w:eastAsia="Times New Roman" w:hAnsi="Arial" w:cs="Arial"/>
                <w:sz w:val="18"/>
                <w:szCs w:val="18"/>
                <w:lang w:eastAsia="it-IT"/>
              </w:rPr>
              <w:t>Numero di docenti di istituzioni universitarie straniere (visiting professor) cui è stato assegnato un corso ufficiale o comunque con periodi di presenza certificati di almeno tre mesi</w:t>
            </w:r>
          </w:p>
        </w:tc>
        <w:tc>
          <w:tcPr>
            <w:tcW w:w="507"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right"/>
              <w:rPr>
                <w:rFonts w:ascii="Arial" w:eastAsia="Times New Roman" w:hAnsi="Arial" w:cs="Arial"/>
                <w:sz w:val="18"/>
                <w:szCs w:val="18"/>
                <w:lang w:eastAsia="it-IT"/>
              </w:rPr>
            </w:pPr>
            <w:r w:rsidRPr="003F3A09">
              <w:rPr>
                <w:rFonts w:ascii="Arial" w:eastAsia="Times New Roman" w:hAnsi="Arial" w:cs="Arial"/>
                <w:sz w:val="18"/>
                <w:szCs w:val="18"/>
                <w:lang w:eastAsia="it-IT"/>
              </w:rPr>
              <w:t>0</w:t>
            </w:r>
          </w:p>
        </w:tc>
        <w:tc>
          <w:tcPr>
            <w:tcW w:w="615" w:type="pct"/>
            <w:tcBorders>
              <w:top w:val="nil"/>
              <w:left w:val="nil"/>
              <w:bottom w:val="single" w:sz="4" w:space="0" w:color="auto"/>
              <w:right w:val="single" w:sz="4" w:space="0" w:color="auto"/>
            </w:tcBorders>
            <w:shd w:val="clear" w:color="auto" w:fill="auto"/>
            <w:vAlign w:val="center"/>
            <w:hideMark/>
          </w:tcPr>
          <w:p w:rsidR="003F3A09" w:rsidRPr="003F3A09" w:rsidRDefault="00436370" w:rsidP="003F3A09">
            <w:pPr>
              <w:spacing w:after="0" w:line="240" w:lineRule="auto"/>
              <w:jc w:val="right"/>
              <w:rPr>
                <w:rFonts w:ascii="Arial" w:eastAsia="Times New Roman" w:hAnsi="Arial" w:cs="Arial"/>
                <w:sz w:val="18"/>
                <w:szCs w:val="18"/>
                <w:lang w:eastAsia="it-IT"/>
              </w:rPr>
            </w:pPr>
            <w:r>
              <w:rPr>
                <w:rFonts w:ascii="Arial" w:eastAsia="Times New Roman" w:hAnsi="Arial" w:cs="Arial"/>
                <w:sz w:val="18"/>
                <w:szCs w:val="18"/>
                <w:lang w:eastAsia="it-IT"/>
              </w:rPr>
              <w:t>0</w:t>
            </w:r>
          </w:p>
        </w:tc>
      </w:tr>
      <w:tr w:rsidR="00436370" w:rsidRPr="003F3A09" w:rsidTr="00436370">
        <w:trPr>
          <w:trHeight w:val="1227"/>
        </w:trPr>
        <w:tc>
          <w:tcPr>
            <w:tcW w:w="472" w:type="pct"/>
            <w:tcBorders>
              <w:top w:val="nil"/>
              <w:left w:val="single" w:sz="4" w:space="0" w:color="auto"/>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right"/>
              <w:rPr>
                <w:rFonts w:ascii="Arial" w:eastAsia="Times New Roman" w:hAnsi="Arial" w:cs="Arial"/>
                <w:sz w:val="18"/>
                <w:szCs w:val="18"/>
                <w:lang w:eastAsia="it-IT"/>
              </w:rPr>
            </w:pPr>
            <w:r w:rsidRPr="003F3A09">
              <w:rPr>
                <w:rFonts w:ascii="Arial" w:eastAsia="Times New Roman" w:hAnsi="Arial" w:cs="Arial"/>
                <w:sz w:val="18"/>
                <w:szCs w:val="18"/>
                <w:lang w:eastAsia="it-IT"/>
              </w:rPr>
              <w:t>2_2_b</w:t>
            </w:r>
          </w:p>
        </w:tc>
        <w:tc>
          <w:tcPr>
            <w:tcW w:w="1303"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rPr>
                <w:rFonts w:ascii="Arial" w:eastAsia="Times New Roman" w:hAnsi="Arial" w:cs="Arial"/>
                <w:sz w:val="18"/>
                <w:szCs w:val="18"/>
                <w:lang w:eastAsia="it-IT"/>
              </w:rPr>
            </w:pPr>
            <w:r w:rsidRPr="003F3A09">
              <w:rPr>
                <w:rFonts w:ascii="Arial" w:eastAsia="Times New Roman" w:hAnsi="Arial" w:cs="Arial"/>
                <w:sz w:val="18"/>
                <w:szCs w:val="18"/>
                <w:lang w:eastAsia="it-IT"/>
              </w:rPr>
              <w:t>Unificazione e condivisione di servizi amministrativi. informatici. bibliotecari e tecnici di supporto alla didattica e alla ricerca</w:t>
            </w:r>
          </w:p>
        </w:tc>
        <w:tc>
          <w:tcPr>
            <w:tcW w:w="652"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center"/>
              <w:rPr>
                <w:rFonts w:ascii="Arial" w:eastAsia="Times New Roman" w:hAnsi="Arial" w:cs="Arial"/>
                <w:sz w:val="18"/>
                <w:szCs w:val="18"/>
                <w:lang w:eastAsia="it-IT"/>
              </w:rPr>
            </w:pPr>
            <w:r w:rsidRPr="003F3A09">
              <w:rPr>
                <w:rFonts w:ascii="Arial" w:eastAsia="Times New Roman" w:hAnsi="Arial" w:cs="Arial"/>
                <w:sz w:val="18"/>
                <w:szCs w:val="18"/>
                <w:lang w:eastAsia="it-IT"/>
              </w:rPr>
              <w:t>2_2_b_1</w:t>
            </w:r>
          </w:p>
        </w:tc>
        <w:tc>
          <w:tcPr>
            <w:tcW w:w="1450"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rPr>
                <w:rFonts w:ascii="Arial" w:eastAsia="Times New Roman" w:hAnsi="Arial" w:cs="Arial"/>
                <w:sz w:val="18"/>
                <w:szCs w:val="18"/>
                <w:lang w:eastAsia="it-IT"/>
              </w:rPr>
            </w:pPr>
            <w:r w:rsidRPr="003F3A09">
              <w:rPr>
                <w:rFonts w:ascii="Arial" w:eastAsia="Times New Roman" w:hAnsi="Arial" w:cs="Arial"/>
                <w:sz w:val="18"/>
                <w:szCs w:val="18"/>
                <w:lang w:eastAsia="it-IT"/>
              </w:rPr>
              <w:t>Numero di servizi unificati o condivisi con altri atenei</w:t>
            </w:r>
          </w:p>
        </w:tc>
        <w:tc>
          <w:tcPr>
            <w:tcW w:w="507"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right"/>
              <w:rPr>
                <w:rFonts w:ascii="Arial" w:eastAsia="Times New Roman" w:hAnsi="Arial" w:cs="Arial"/>
                <w:sz w:val="18"/>
                <w:szCs w:val="18"/>
                <w:lang w:eastAsia="it-IT"/>
              </w:rPr>
            </w:pPr>
            <w:r w:rsidRPr="003F3A09">
              <w:rPr>
                <w:rFonts w:ascii="Arial" w:eastAsia="Times New Roman" w:hAnsi="Arial" w:cs="Arial"/>
                <w:sz w:val="18"/>
                <w:szCs w:val="18"/>
                <w:lang w:eastAsia="it-IT"/>
              </w:rPr>
              <w:t>2</w:t>
            </w:r>
          </w:p>
        </w:tc>
        <w:tc>
          <w:tcPr>
            <w:tcW w:w="615" w:type="pct"/>
            <w:tcBorders>
              <w:top w:val="nil"/>
              <w:left w:val="nil"/>
              <w:bottom w:val="single" w:sz="4" w:space="0" w:color="auto"/>
              <w:right w:val="single" w:sz="4" w:space="0" w:color="auto"/>
            </w:tcBorders>
            <w:shd w:val="clear" w:color="auto" w:fill="auto"/>
            <w:vAlign w:val="center"/>
            <w:hideMark/>
          </w:tcPr>
          <w:p w:rsidR="003F3A09" w:rsidRPr="003F3A09" w:rsidRDefault="008B7E06" w:rsidP="003F3A09">
            <w:pPr>
              <w:spacing w:after="0" w:line="240" w:lineRule="auto"/>
              <w:jc w:val="right"/>
              <w:rPr>
                <w:rFonts w:ascii="Arial" w:eastAsia="Times New Roman" w:hAnsi="Arial" w:cs="Arial"/>
                <w:sz w:val="18"/>
                <w:szCs w:val="18"/>
                <w:lang w:eastAsia="it-IT"/>
              </w:rPr>
            </w:pPr>
            <w:r>
              <w:rPr>
                <w:rFonts w:ascii="Arial" w:eastAsia="Times New Roman" w:hAnsi="Arial" w:cs="Arial"/>
                <w:sz w:val="18"/>
                <w:szCs w:val="18"/>
                <w:lang w:eastAsia="it-IT"/>
              </w:rPr>
              <w:t>2</w:t>
            </w:r>
          </w:p>
        </w:tc>
      </w:tr>
      <w:tr w:rsidR="00436370" w:rsidRPr="003F3A09" w:rsidTr="00436370">
        <w:trPr>
          <w:trHeight w:val="1273"/>
        </w:trPr>
        <w:tc>
          <w:tcPr>
            <w:tcW w:w="472" w:type="pct"/>
            <w:tcBorders>
              <w:top w:val="nil"/>
              <w:left w:val="single" w:sz="4" w:space="0" w:color="auto"/>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right"/>
              <w:rPr>
                <w:rFonts w:ascii="Arial" w:eastAsia="Times New Roman" w:hAnsi="Arial" w:cs="Arial"/>
                <w:sz w:val="18"/>
                <w:szCs w:val="18"/>
                <w:lang w:eastAsia="it-IT"/>
              </w:rPr>
            </w:pPr>
            <w:r w:rsidRPr="003F3A09">
              <w:rPr>
                <w:rFonts w:ascii="Arial" w:eastAsia="Times New Roman" w:hAnsi="Arial" w:cs="Arial"/>
                <w:sz w:val="18"/>
                <w:szCs w:val="18"/>
                <w:lang w:eastAsia="it-IT"/>
              </w:rPr>
              <w:t>2_2_b</w:t>
            </w:r>
          </w:p>
        </w:tc>
        <w:tc>
          <w:tcPr>
            <w:tcW w:w="1303"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0E3515">
            <w:pPr>
              <w:spacing w:after="0" w:line="240" w:lineRule="auto"/>
              <w:rPr>
                <w:rFonts w:ascii="Arial" w:eastAsia="Times New Roman" w:hAnsi="Arial" w:cs="Arial"/>
                <w:sz w:val="18"/>
                <w:szCs w:val="18"/>
                <w:lang w:eastAsia="it-IT"/>
              </w:rPr>
            </w:pPr>
            <w:r w:rsidRPr="003F3A09">
              <w:rPr>
                <w:rFonts w:ascii="Arial" w:eastAsia="Times New Roman" w:hAnsi="Arial" w:cs="Arial"/>
                <w:sz w:val="18"/>
                <w:szCs w:val="18"/>
                <w:lang w:eastAsia="it-IT"/>
              </w:rPr>
              <w:t>Unificazione e condivisione di servizi amministrativi</w:t>
            </w:r>
            <w:r w:rsidR="003D3361">
              <w:rPr>
                <w:rFonts w:ascii="Arial" w:eastAsia="Times New Roman" w:hAnsi="Arial" w:cs="Arial"/>
                <w:sz w:val="18"/>
                <w:szCs w:val="18"/>
                <w:lang w:eastAsia="it-IT"/>
              </w:rPr>
              <w:t xml:space="preserve"> </w:t>
            </w:r>
            <w:r w:rsidRPr="003F3A09">
              <w:rPr>
                <w:rFonts w:ascii="Arial" w:eastAsia="Times New Roman" w:hAnsi="Arial" w:cs="Arial"/>
                <w:sz w:val="18"/>
                <w:szCs w:val="18"/>
                <w:lang w:eastAsia="it-IT"/>
              </w:rPr>
              <w:t>informatici</w:t>
            </w:r>
            <w:r w:rsidR="000E3515">
              <w:rPr>
                <w:rFonts w:ascii="Arial" w:eastAsia="Times New Roman" w:hAnsi="Arial" w:cs="Arial"/>
                <w:sz w:val="18"/>
                <w:szCs w:val="18"/>
                <w:lang w:eastAsia="it-IT"/>
              </w:rPr>
              <w:t>,</w:t>
            </w:r>
            <w:r w:rsidR="000E3515" w:rsidRPr="003F3A09">
              <w:rPr>
                <w:rFonts w:ascii="Arial" w:eastAsia="Times New Roman" w:hAnsi="Arial" w:cs="Arial"/>
                <w:sz w:val="18"/>
                <w:szCs w:val="18"/>
                <w:lang w:eastAsia="it-IT"/>
              </w:rPr>
              <w:t xml:space="preserve"> </w:t>
            </w:r>
            <w:r w:rsidRPr="003F3A09">
              <w:rPr>
                <w:rFonts w:ascii="Arial" w:eastAsia="Times New Roman" w:hAnsi="Arial" w:cs="Arial"/>
                <w:sz w:val="18"/>
                <w:szCs w:val="18"/>
                <w:lang w:eastAsia="it-IT"/>
              </w:rPr>
              <w:t>bibliotecari e tecnici di supporto alla didattica e alla ricerca</w:t>
            </w:r>
          </w:p>
        </w:tc>
        <w:tc>
          <w:tcPr>
            <w:tcW w:w="652"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jc w:val="center"/>
              <w:rPr>
                <w:rFonts w:ascii="Arial" w:eastAsia="Times New Roman" w:hAnsi="Arial" w:cs="Arial"/>
                <w:sz w:val="18"/>
                <w:szCs w:val="18"/>
                <w:lang w:eastAsia="it-IT"/>
              </w:rPr>
            </w:pPr>
            <w:r w:rsidRPr="003F3A09">
              <w:rPr>
                <w:rFonts w:ascii="Arial" w:eastAsia="Times New Roman" w:hAnsi="Arial" w:cs="Arial"/>
                <w:sz w:val="18"/>
                <w:szCs w:val="18"/>
                <w:lang w:eastAsia="it-IT"/>
              </w:rPr>
              <w:t>2_2_b_2</w:t>
            </w:r>
          </w:p>
        </w:tc>
        <w:tc>
          <w:tcPr>
            <w:tcW w:w="1450" w:type="pct"/>
            <w:tcBorders>
              <w:top w:val="nil"/>
              <w:left w:val="nil"/>
              <w:bottom w:val="single" w:sz="4" w:space="0" w:color="auto"/>
              <w:right w:val="single" w:sz="4" w:space="0" w:color="auto"/>
            </w:tcBorders>
            <w:shd w:val="clear" w:color="auto" w:fill="auto"/>
            <w:vAlign w:val="center"/>
            <w:hideMark/>
          </w:tcPr>
          <w:p w:rsidR="003F3A09" w:rsidRPr="003F3A09" w:rsidRDefault="003F3A09" w:rsidP="003F3A09">
            <w:pPr>
              <w:spacing w:after="0" w:line="240" w:lineRule="auto"/>
              <w:rPr>
                <w:rFonts w:ascii="Arial" w:eastAsia="Times New Roman" w:hAnsi="Arial" w:cs="Arial"/>
                <w:sz w:val="18"/>
                <w:szCs w:val="18"/>
                <w:lang w:eastAsia="it-IT"/>
              </w:rPr>
            </w:pPr>
            <w:r w:rsidRPr="003F3A09">
              <w:rPr>
                <w:rFonts w:ascii="Arial" w:eastAsia="Times New Roman" w:hAnsi="Arial" w:cs="Arial"/>
                <w:sz w:val="18"/>
                <w:szCs w:val="18"/>
                <w:lang w:eastAsia="it-IT"/>
              </w:rPr>
              <w:t>Tempi di messa a regime del processo di unificazione e condivisione (2014 o 2015)</w:t>
            </w:r>
          </w:p>
        </w:tc>
        <w:tc>
          <w:tcPr>
            <w:tcW w:w="507" w:type="pct"/>
            <w:tcBorders>
              <w:top w:val="nil"/>
              <w:left w:val="nil"/>
              <w:bottom w:val="single" w:sz="4" w:space="0" w:color="auto"/>
              <w:right w:val="single" w:sz="4" w:space="0" w:color="auto"/>
            </w:tcBorders>
            <w:shd w:val="clear" w:color="auto" w:fill="auto"/>
            <w:vAlign w:val="center"/>
            <w:hideMark/>
          </w:tcPr>
          <w:p w:rsidR="003F3A09" w:rsidRPr="003F3A09" w:rsidRDefault="000E3515" w:rsidP="00BB4DA5">
            <w:pPr>
              <w:spacing w:after="0" w:line="240" w:lineRule="auto"/>
              <w:jc w:val="right"/>
              <w:rPr>
                <w:rFonts w:ascii="Arial" w:eastAsia="Times New Roman" w:hAnsi="Arial" w:cs="Arial"/>
                <w:sz w:val="18"/>
                <w:szCs w:val="18"/>
                <w:lang w:eastAsia="it-IT"/>
              </w:rPr>
            </w:pPr>
            <w:r>
              <w:rPr>
                <w:rFonts w:ascii="Arial" w:eastAsia="Times New Roman" w:hAnsi="Arial" w:cs="Arial"/>
                <w:sz w:val="18"/>
                <w:szCs w:val="18"/>
                <w:lang w:eastAsia="it-IT"/>
              </w:rPr>
              <w:t xml:space="preserve"> </w:t>
            </w:r>
            <w:r w:rsidR="00BB4DA5">
              <w:rPr>
                <w:rFonts w:ascii="Arial" w:eastAsia="Times New Roman" w:hAnsi="Arial" w:cs="Arial"/>
                <w:sz w:val="18"/>
                <w:szCs w:val="18"/>
                <w:lang w:eastAsia="it-IT"/>
              </w:rPr>
              <w:t>NO</w:t>
            </w:r>
          </w:p>
        </w:tc>
        <w:tc>
          <w:tcPr>
            <w:tcW w:w="615" w:type="pct"/>
            <w:tcBorders>
              <w:top w:val="nil"/>
              <w:left w:val="nil"/>
              <w:bottom w:val="single" w:sz="4" w:space="0" w:color="auto"/>
              <w:right w:val="single" w:sz="4" w:space="0" w:color="auto"/>
            </w:tcBorders>
            <w:shd w:val="clear" w:color="auto" w:fill="auto"/>
            <w:vAlign w:val="center"/>
            <w:hideMark/>
          </w:tcPr>
          <w:p w:rsidR="003F3A09" w:rsidRPr="003F3A09" w:rsidRDefault="00436370" w:rsidP="003F3A09">
            <w:pPr>
              <w:spacing w:after="0" w:line="240" w:lineRule="auto"/>
              <w:jc w:val="right"/>
              <w:rPr>
                <w:rFonts w:ascii="Arial" w:eastAsia="Times New Roman" w:hAnsi="Arial" w:cs="Arial"/>
                <w:sz w:val="18"/>
                <w:szCs w:val="18"/>
                <w:lang w:eastAsia="it-IT"/>
              </w:rPr>
            </w:pPr>
            <w:r>
              <w:rPr>
                <w:rFonts w:ascii="Arial" w:eastAsia="Times New Roman" w:hAnsi="Arial" w:cs="Arial"/>
                <w:sz w:val="18"/>
                <w:szCs w:val="18"/>
                <w:lang w:eastAsia="it-IT"/>
              </w:rPr>
              <w:t>NO</w:t>
            </w:r>
          </w:p>
        </w:tc>
      </w:tr>
    </w:tbl>
    <w:p w:rsidR="003F3A09" w:rsidRDefault="003F3A09" w:rsidP="00DE7298">
      <w:pPr>
        <w:jc w:val="both"/>
      </w:pPr>
    </w:p>
    <w:p w:rsidR="003F3A09" w:rsidRPr="00436370" w:rsidRDefault="00436370" w:rsidP="00DE7298">
      <w:pPr>
        <w:jc w:val="both"/>
        <w:rPr>
          <w:rFonts w:ascii="Arial" w:eastAsia="Times New Roman" w:hAnsi="Arial" w:cs="Arial"/>
          <w:b/>
          <w:i/>
          <w:sz w:val="18"/>
          <w:szCs w:val="18"/>
          <w:lang w:eastAsia="it-IT"/>
        </w:rPr>
      </w:pPr>
      <w:r>
        <w:rPr>
          <w:b/>
        </w:rPr>
        <w:lastRenderedPageBreak/>
        <w:t>Indicatori</w:t>
      </w:r>
      <w:r w:rsidRPr="00436370">
        <w:rPr>
          <w:b/>
        </w:rPr>
        <w:t xml:space="preserve"> </w:t>
      </w:r>
      <w:r w:rsidRPr="003F3A09">
        <w:rPr>
          <w:rFonts w:ascii="Arial" w:eastAsia="Times New Roman" w:hAnsi="Arial" w:cs="Arial"/>
          <w:b/>
          <w:i/>
          <w:sz w:val="18"/>
          <w:szCs w:val="18"/>
          <w:lang w:eastAsia="it-IT"/>
        </w:rPr>
        <w:t>1_1_b_1</w:t>
      </w:r>
      <w:r w:rsidRPr="00436370">
        <w:rPr>
          <w:rFonts w:ascii="Arial" w:eastAsia="Times New Roman" w:hAnsi="Arial" w:cs="Arial"/>
          <w:b/>
          <w:sz w:val="18"/>
          <w:szCs w:val="18"/>
          <w:lang w:eastAsia="it-IT"/>
        </w:rPr>
        <w:t xml:space="preserve"> </w:t>
      </w:r>
      <w:r w:rsidRPr="003F3A09">
        <w:rPr>
          <w:rFonts w:ascii="Arial" w:eastAsia="Times New Roman" w:hAnsi="Arial" w:cs="Arial"/>
          <w:b/>
          <w:i/>
          <w:sz w:val="18"/>
          <w:szCs w:val="18"/>
          <w:lang w:eastAsia="it-IT"/>
        </w:rPr>
        <w:t>Numero di processi amministrativi dematerializzati</w:t>
      </w:r>
      <w:r>
        <w:rPr>
          <w:rFonts w:ascii="Arial" w:eastAsia="Times New Roman" w:hAnsi="Arial" w:cs="Arial"/>
          <w:b/>
          <w:i/>
          <w:sz w:val="18"/>
          <w:szCs w:val="18"/>
          <w:lang w:eastAsia="it-IT"/>
        </w:rPr>
        <w:t xml:space="preserve"> </w:t>
      </w:r>
      <w:r>
        <w:rPr>
          <w:rFonts w:ascii="Arial" w:eastAsia="Times New Roman" w:hAnsi="Arial" w:cs="Arial"/>
          <w:b/>
          <w:sz w:val="18"/>
          <w:szCs w:val="18"/>
          <w:lang w:eastAsia="it-IT"/>
        </w:rPr>
        <w:t xml:space="preserve">e </w:t>
      </w:r>
      <w:r w:rsidRPr="003F3A09">
        <w:rPr>
          <w:rFonts w:ascii="Arial" w:eastAsia="Times New Roman" w:hAnsi="Arial" w:cs="Arial"/>
          <w:b/>
          <w:i/>
          <w:sz w:val="18"/>
          <w:szCs w:val="18"/>
          <w:lang w:eastAsia="it-IT"/>
        </w:rPr>
        <w:t>1_1_b_2</w:t>
      </w:r>
      <w:r w:rsidRPr="00436370">
        <w:rPr>
          <w:rFonts w:ascii="Arial" w:eastAsia="Times New Roman" w:hAnsi="Arial" w:cs="Arial"/>
          <w:b/>
          <w:i/>
          <w:sz w:val="18"/>
          <w:szCs w:val="18"/>
          <w:lang w:eastAsia="it-IT"/>
        </w:rPr>
        <w:t xml:space="preserve"> </w:t>
      </w:r>
      <w:r w:rsidRPr="003F3A09">
        <w:rPr>
          <w:rFonts w:ascii="Arial" w:eastAsia="Times New Roman" w:hAnsi="Arial" w:cs="Arial"/>
          <w:b/>
          <w:i/>
          <w:sz w:val="18"/>
          <w:szCs w:val="18"/>
          <w:lang w:eastAsia="it-IT"/>
        </w:rPr>
        <w:t>Tempi di messa a regime del processo dematerializzato (2014 o 2015)</w:t>
      </w:r>
    </w:p>
    <w:p w:rsidR="00436370" w:rsidRDefault="00436370" w:rsidP="00DE7298">
      <w:pPr>
        <w:jc w:val="both"/>
      </w:pPr>
      <w:r w:rsidRPr="00436370">
        <w:t xml:space="preserve">Per quanto riguarda l’anno 2014 è stato completato lo sviluppo del sistema di compilazione dei questionari di valutazione </w:t>
      </w:r>
      <w:r w:rsidR="00D34DBE">
        <w:t xml:space="preserve">delle opinioni studenti </w:t>
      </w:r>
      <w:r w:rsidRPr="00436370">
        <w:t>sulla qualità della didattica</w:t>
      </w:r>
      <w:r w:rsidR="00D34DBE">
        <w:t>,</w:t>
      </w:r>
      <w:r w:rsidRPr="00436370">
        <w:t xml:space="preserve"> per studenti e personale docente. Contestualmente</w:t>
      </w:r>
      <w:r w:rsidR="009051CF">
        <w:t>,</w:t>
      </w:r>
      <w:r w:rsidRPr="00436370">
        <w:t xml:space="preserve"> è stato realizzato un sistema di statistiche per elaborare tutti i dati raccolti secondo le modalità richieste dagli uffici competenti.</w:t>
      </w:r>
      <w:r>
        <w:t xml:space="preserve"> </w:t>
      </w:r>
      <w:r w:rsidRPr="00436370">
        <w:t>Tale sistema, per quanto riguarda gli studenti, è stato collegato a due sistemi preesistenti: webclass, un portale di</w:t>
      </w:r>
      <w:r w:rsidR="00826C18" w:rsidRPr="00436370">
        <w:t xml:space="preserve"> </w:t>
      </w:r>
      <w:r w:rsidRPr="00436370">
        <w:t>supporto alla didattica in classe, attraverso il quale i docenti regi</w:t>
      </w:r>
      <w:r>
        <w:t>s</w:t>
      </w:r>
      <w:r w:rsidRPr="00436370">
        <w:t>trano le presenze in classe degli studenti e</w:t>
      </w:r>
      <w:r w:rsidR="004820BC">
        <w:t xml:space="preserve"> </w:t>
      </w:r>
      <w:r w:rsidRPr="00436370">
        <w:t xml:space="preserve">GISS, </w:t>
      </w:r>
      <w:r w:rsidR="00886C22">
        <w:t xml:space="preserve">mediante cui </w:t>
      </w:r>
      <w:r w:rsidRPr="00436370">
        <w:t>gli studenti si prenotano agli esami. Al momento della prenotazione ad un esame il sistema controlla che lo studente abbia compilato il questionario per la materia in questione e, in caso negativo, obbliga la compilazione prima di procedere all’iscrizione. Il sistema è in funzione da 3 semestri.</w:t>
      </w:r>
    </w:p>
    <w:p w:rsidR="00886C22" w:rsidRPr="00436370" w:rsidRDefault="00886C22" w:rsidP="00886C22">
      <w:pPr>
        <w:jc w:val="both"/>
      </w:pPr>
      <w:r>
        <w:t xml:space="preserve">I questionari compilati online (per studenti e docenti) sono stati n. 4016 nel II semestre </w:t>
      </w:r>
      <w:r w:rsidR="009051CF">
        <w:t xml:space="preserve">dell’anno accademico </w:t>
      </w:r>
      <w:r>
        <w:t>2013</w:t>
      </w:r>
      <w:r w:rsidR="009051CF">
        <w:t>/</w:t>
      </w:r>
      <w:r>
        <w:t>2014 e n. 4356 nell'</w:t>
      </w:r>
      <w:r w:rsidR="009051CF">
        <w:t>anno accademico</w:t>
      </w:r>
      <w:r>
        <w:t xml:space="preserve"> 2014</w:t>
      </w:r>
      <w:r w:rsidR="009051CF">
        <w:t>/</w:t>
      </w:r>
      <w:r>
        <w:t>2015, dato provvisorio in quanto gli studenti possono ancora iscriversi agli esami fino a settembre 2015.</w:t>
      </w:r>
    </w:p>
    <w:p w:rsidR="00436370" w:rsidRDefault="00196FD0" w:rsidP="00DE7298">
      <w:pPr>
        <w:jc w:val="both"/>
      </w:pPr>
      <w:r>
        <w:t>Gli obiettivi</w:t>
      </w:r>
      <w:r w:rsidR="00436370">
        <w:t xml:space="preserve"> risulta</w:t>
      </w:r>
      <w:r>
        <w:t>no pertanto raggiunti</w:t>
      </w:r>
      <w:r w:rsidR="00436370">
        <w:t xml:space="preserve"> </w:t>
      </w:r>
      <w:r w:rsidR="005C2C53">
        <w:t xml:space="preserve">in quanto </w:t>
      </w:r>
      <w:r w:rsidR="00C85D7D">
        <w:t>un</w:t>
      </w:r>
      <w:r w:rsidR="005C2C53">
        <w:t xml:space="preserve"> processo </w:t>
      </w:r>
      <w:r w:rsidR="00C85D7D">
        <w:t xml:space="preserve">amministrativo </w:t>
      </w:r>
      <w:r w:rsidR="005C2C53">
        <w:t>è stato dematerializzato e messo a regime nel 2014.</w:t>
      </w:r>
    </w:p>
    <w:p w:rsidR="009051CF" w:rsidRDefault="009051CF" w:rsidP="00DE7298">
      <w:pPr>
        <w:jc w:val="both"/>
      </w:pPr>
      <w:bookmarkStart w:id="0" w:name="_GoBack"/>
      <w:bookmarkEnd w:id="0"/>
    </w:p>
    <w:p w:rsidR="003F3A09" w:rsidRPr="00C85D7D" w:rsidRDefault="00920242" w:rsidP="00DE7298">
      <w:pPr>
        <w:jc w:val="both"/>
        <w:rPr>
          <w:b/>
          <w:i/>
        </w:rPr>
      </w:pPr>
      <w:r>
        <w:rPr>
          <w:b/>
        </w:rPr>
        <w:t xml:space="preserve">Indicatore </w:t>
      </w:r>
      <w:r w:rsidRPr="003F3A09">
        <w:rPr>
          <w:rFonts w:ascii="Arial" w:eastAsia="Times New Roman" w:hAnsi="Arial" w:cs="Arial"/>
          <w:b/>
          <w:i/>
          <w:sz w:val="18"/>
          <w:szCs w:val="18"/>
          <w:lang w:eastAsia="it-IT"/>
        </w:rPr>
        <w:t>1_2_a_3</w:t>
      </w:r>
      <w:r w:rsidRPr="00C85D7D">
        <w:rPr>
          <w:rFonts w:ascii="Arial" w:eastAsia="Times New Roman" w:hAnsi="Arial" w:cs="Arial"/>
          <w:b/>
          <w:i/>
          <w:sz w:val="18"/>
          <w:szCs w:val="18"/>
          <w:lang w:eastAsia="it-IT"/>
        </w:rPr>
        <w:t xml:space="preserve"> </w:t>
      </w:r>
      <w:r w:rsidRPr="003F3A09">
        <w:rPr>
          <w:rFonts w:ascii="Arial" w:eastAsia="Times New Roman" w:hAnsi="Arial" w:cs="Arial"/>
          <w:b/>
          <w:i/>
          <w:sz w:val="18"/>
          <w:szCs w:val="18"/>
          <w:lang w:eastAsia="it-IT"/>
        </w:rPr>
        <w:t>Numero di docenti di istituzioni universitarie straniere (visiting professor)</w:t>
      </w:r>
      <w:r w:rsidR="009051CF">
        <w:rPr>
          <w:rFonts w:ascii="Arial" w:eastAsia="Times New Roman" w:hAnsi="Arial" w:cs="Arial"/>
          <w:b/>
          <w:i/>
          <w:sz w:val="18"/>
          <w:szCs w:val="18"/>
          <w:lang w:eastAsia="it-IT"/>
        </w:rPr>
        <w:t xml:space="preserve"> </w:t>
      </w:r>
      <w:r w:rsidRPr="003F3A09">
        <w:rPr>
          <w:rFonts w:ascii="Arial" w:eastAsia="Times New Roman" w:hAnsi="Arial" w:cs="Arial"/>
          <w:b/>
          <w:i/>
          <w:sz w:val="18"/>
          <w:szCs w:val="18"/>
          <w:lang w:eastAsia="it-IT"/>
        </w:rPr>
        <w:t>cui è stato assegnato un corso ufficiale o comunque con periodi di presenza certificati di almeno tre mesi</w:t>
      </w:r>
    </w:p>
    <w:p w:rsidR="00C85D7D" w:rsidRDefault="00C85D7D" w:rsidP="00DE7298">
      <w:pPr>
        <w:jc w:val="both"/>
      </w:pPr>
      <w:r>
        <w:t>Si segnala che l’azione</w:t>
      </w:r>
      <w:r w:rsidR="009051CF">
        <w:t>,</w:t>
      </w:r>
      <w:r>
        <w:t xml:space="preserve"> cui si riferisce l’indicatore</w:t>
      </w:r>
      <w:r w:rsidR="009051CF">
        <w:t>,</w:t>
      </w:r>
      <w:r>
        <w:t xml:space="preserve"> non </w:t>
      </w:r>
      <w:r w:rsidR="00886C22">
        <w:t>è stat</w:t>
      </w:r>
      <w:r w:rsidR="009051CF">
        <w:t>a</w:t>
      </w:r>
      <w:r w:rsidR="00886C22">
        <w:t xml:space="preserve"> ritenut</w:t>
      </w:r>
      <w:r w:rsidR="009051CF">
        <w:t>a</w:t>
      </w:r>
      <w:r w:rsidR="00886C22">
        <w:t xml:space="preserve"> dal Ministero meritevole di finanziamento. </w:t>
      </w:r>
      <w:r>
        <w:t xml:space="preserve"> </w:t>
      </w:r>
      <w:r w:rsidR="00886C22">
        <w:t>P</w:t>
      </w:r>
      <w:r>
        <w:t xml:space="preserve">ertanto non incide sul monitoraggio dei risultati. </w:t>
      </w:r>
    </w:p>
    <w:p w:rsidR="003F3A09" w:rsidRDefault="00C85D7D" w:rsidP="00DE7298">
      <w:pPr>
        <w:jc w:val="both"/>
      </w:pPr>
      <w:r>
        <w:t xml:space="preserve"> Il risultato relativo all’indicatore per il 2014 è pari a 0. </w:t>
      </w:r>
    </w:p>
    <w:p w:rsidR="00C85D7D" w:rsidRDefault="00C85D7D" w:rsidP="00DE7298">
      <w:pPr>
        <w:jc w:val="both"/>
      </w:pPr>
    </w:p>
    <w:p w:rsidR="00C85D7D" w:rsidRPr="00C85D7D" w:rsidRDefault="00C85D7D" w:rsidP="00DE7298">
      <w:pPr>
        <w:jc w:val="both"/>
        <w:rPr>
          <w:b/>
          <w:i/>
        </w:rPr>
      </w:pPr>
      <w:r>
        <w:rPr>
          <w:b/>
        </w:rPr>
        <w:t xml:space="preserve">Indicatori </w:t>
      </w:r>
      <w:r w:rsidRPr="003F3A09">
        <w:rPr>
          <w:rFonts w:ascii="Arial" w:eastAsia="Times New Roman" w:hAnsi="Arial" w:cs="Arial"/>
          <w:b/>
          <w:i/>
          <w:sz w:val="18"/>
          <w:szCs w:val="18"/>
          <w:lang w:eastAsia="it-IT"/>
        </w:rPr>
        <w:t>2_2_b_1</w:t>
      </w:r>
      <w:r w:rsidRPr="00C85D7D">
        <w:rPr>
          <w:rFonts w:ascii="Arial" w:eastAsia="Times New Roman" w:hAnsi="Arial" w:cs="Arial"/>
          <w:b/>
          <w:i/>
          <w:sz w:val="18"/>
          <w:szCs w:val="18"/>
          <w:lang w:eastAsia="it-IT"/>
        </w:rPr>
        <w:t xml:space="preserve"> </w:t>
      </w:r>
      <w:r w:rsidRPr="003F3A09">
        <w:rPr>
          <w:rFonts w:ascii="Arial" w:eastAsia="Times New Roman" w:hAnsi="Arial" w:cs="Arial"/>
          <w:b/>
          <w:i/>
          <w:sz w:val="18"/>
          <w:szCs w:val="18"/>
          <w:lang w:eastAsia="it-IT"/>
        </w:rPr>
        <w:t>Numero di servizi unificati o condivisi con altri atenei</w:t>
      </w:r>
      <w:r w:rsidRPr="00C85D7D">
        <w:rPr>
          <w:rFonts w:ascii="Arial" w:eastAsia="Times New Roman" w:hAnsi="Arial" w:cs="Arial"/>
          <w:b/>
          <w:i/>
          <w:sz w:val="18"/>
          <w:szCs w:val="18"/>
          <w:lang w:eastAsia="it-IT"/>
        </w:rPr>
        <w:t xml:space="preserve"> e </w:t>
      </w:r>
      <w:r w:rsidRPr="003F3A09">
        <w:rPr>
          <w:rFonts w:ascii="Arial" w:eastAsia="Times New Roman" w:hAnsi="Arial" w:cs="Arial"/>
          <w:b/>
          <w:i/>
          <w:sz w:val="18"/>
          <w:szCs w:val="18"/>
          <w:lang w:eastAsia="it-IT"/>
        </w:rPr>
        <w:t>2_2_b_2</w:t>
      </w:r>
      <w:r w:rsidRPr="00C85D7D">
        <w:rPr>
          <w:rFonts w:ascii="Arial" w:eastAsia="Times New Roman" w:hAnsi="Arial" w:cs="Arial"/>
          <w:b/>
          <w:i/>
          <w:sz w:val="18"/>
          <w:szCs w:val="18"/>
          <w:lang w:eastAsia="it-IT"/>
        </w:rPr>
        <w:t xml:space="preserve"> </w:t>
      </w:r>
      <w:r w:rsidRPr="003F3A09">
        <w:rPr>
          <w:rFonts w:ascii="Arial" w:eastAsia="Times New Roman" w:hAnsi="Arial" w:cs="Arial"/>
          <w:b/>
          <w:i/>
          <w:sz w:val="18"/>
          <w:szCs w:val="18"/>
          <w:lang w:eastAsia="it-IT"/>
        </w:rPr>
        <w:t>Tempi di messa a regime del processo di unificazione e condivisione (2014 o 2015)</w:t>
      </w:r>
    </w:p>
    <w:p w:rsidR="00840C49" w:rsidRDefault="00840C49" w:rsidP="00840C49">
      <w:pPr>
        <w:spacing w:after="0"/>
        <w:jc w:val="both"/>
      </w:pPr>
      <w:r>
        <w:t>Nel 2014 è stato sottoscritto il Protocollo d’intesa tra il Centro Servizi Bibliotecari (CSB) dell’Università degli Studi di Perugia e il Sistema Bibliotecario e Documentale di Ateneo (SBDA) dell’Università per Stranieri di Perugia</w:t>
      </w:r>
      <w:r w:rsidR="00886C22">
        <w:t>; tale protocollo è stato approvato dal Senato e dal Consiglio di Amministrazione</w:t>
      </w:r>
      <w:r w:rsidR="003646EB">
        <w:t xml:space="preserve"> </w:t>
      </w:r>
      <w:r w:rsidR="00514BB3">
        <w:t xml:space="preserve">in data 9 giugno 2014 ed è </w:t>
      </w:r>
      <w:r>
        <w:t>in vigore dal 2 settembre 2014</w:t>
      </w:r>
      <w:r w:rsidR="00514BB3">
        <w:t>. Tale protocollo</w:t>
      </w:r>
      <w:r w:rsidR="003646EB">
        <w:t xml:space="preserve"> </w:t>
      </w:r>
      <w:r>
        <w:t>ha portato ad una condivisione dei servizi erogati dalle Biblioteche dei due Atenei, garantendo ai rispettivi utenti l’accesso a titolo gratuito ai servizi (prestito locale; consultazione del patrimonio bibliografico</w:t>
      </w:r>
      <w:r w:rsidR="00826C18">
        <w:t xml:space="preserve"> </w:t>
      </w:r>
      <w:r>
        <w:t>e documentario; accesso</w:t>
      </w:r>
      <w:r w:rsidR="00826C18">
        <w:t xml:space="preserve"> </w:t>
      </w:r>
      <w:r>
        <w:t>all’informazione bibliografica attraverso</w:t>
      </w:r>
      <w:r w:rsidR="00826C18">
        <w:t xml:space="preserve"> </w:t>
      </w:r>
      <w:r>
        <w:t>i cataloghi</w:t>
      </w:r>
      <w:r w:rsidR="00826C18">
        <w:t xml:space="preserve"> </w:t>
      </w:r>
      <w:r>
        <w:t>e</w:t>
      </w:r>
      <w:r w:rsidR="00826C18">
        <w:t xml:space="preserve"> </w:t>
      </w:r>
      <w:r>
        <w:t>le</w:t>
      </w:r>
      <w:r w:rsidR="00826C18">
        <w:t xml:space="preserve"> </w:t>
      </w:r>
      <w:r>
        <w:t>banche  dati online</w:t>
      </w:r>
      <w:r w:rsidR="00826C18">
        <w:t xml:space="preserve"> </w:t>
      </w:r>
      <w:r>
        <w:t>e</w:t>
      </w:r>
      <w:r w:rsidR="00826C18">
        <w:t xml:space="preserve"> </w:t>
      </w:r>
      <w:r>
        <w:t>cartacee; utilizzo delle postazioni per lavorare co</w:t>
      </w:r>
      <w:r w:rsidR="00951FD2">
        <w:t>n il</w:t>
      </w:r>
      <w:r>
        <w:t xml:space="preserve"> proprio personal computer, per lo studio individuale e la consultazione di tutto il patrimonio bibliografico della Biblioteca). Il Protocollo d’intesa ha inoltre permesso:</w:t>
      </w:r>
    </w:p>
    <w:p w:rsidR="00840C49" w:rsidRDefault="00840C49" w:rsidP="00927E68">
      <w:pPr>
        <w:pStyle w:val="Paragrafoelenco"/>
        <w:numPr>
          <w:ilvl w:val="0"/>
          <w:numId w:val="4"/>
        </w:numPr>
        <w:spacing w:after="0"/>
        <w:jc w:val="both"/>
      </w:pPr>
      <w:r>
        <w:t>la razionalizzazione nell’impiego delle risorse finanziarie per l’acquisto del materiale bibliografico da parte dei due Atenei, che viene ora selezionato in modo da evitare duplicazioni;</w:t>
      </w:r>
    </w:p>
    <w:p w:rsidR="00EF4091" w:rsidRPr="00BB6F04" w:rsidRDefault="00840C49" w:rsidP="00AF0CBB">
      <w:pPr>
        <w:pStyle w:val="Paragrafoelenco"/>
        <w:numPr>
          <w:ilvl w:val="0"/>
          <w:numId w:val="4"/>
        </w:numPr>
        <w:jc w:val="both"/>
      </w:pPr>
      <w:r w:rsidRPr="00BB6F04">
        <w:t>la riduzione delle spese</w:t>
      </w:r>
      <w:r w:rsidR="00951FD2" w:rsidRPr="00BB6F04">
        <w:t xml:space="preserve"> di prestito interbibliotecario.</w:t>
      </w:r>
    </w:p>
    <w:p w:rsidR="00EF4091" w:rsidRPr="00BB6F04" w:rsidRDefault="00EF4091" w:rsidP="00AF0CBB">
      <w:pPr>
        <w:pStyle w:val="Paragrafoelenco"/>
        <w:jc w:val="both"/>
      </w:pPr>
    </w:p>
    <w:p w:rsidR="00C85D7D" w:rsidRDefault="00EF4091" w:rsidP="00AF0CBB">
      <w:pPr>
        <w:pStyle w:val="Paragrafoelenco"/>
        <w:ind w:left="0"/>
        <w:jc w:val="both"/>
      </w:pPr>
      <w:r w:rsidRPr="00BB6F04">
        <w:t>Le informazioni</w:t>
      </w:r>
      <w:r w:rsidR="00840C49" w:rsidRPr="00BB6F04">
        <w:t xml:space="preserve"> relativ</w:t>
      </w:r>
      <w:r w:rsidRPr="00BB6F04">
        <w:t>e</w:t>
      </w:r>
      <w:r w:rsidR="00840C49" w:rsidRPr="00BB6F04">
        <w:t xml:space="preserve"> </w:t>
      </w:r>
      <w:r w:rsidRPr="00BB6F04">
        <w:t xml:space="preserve">al “Servizio di prestito interbibliotecario (ILL) e fornitura documenti (DD)”, pubblicate nel </w:t>
      </w:r>
      <w:r w:rsidR="00840C49" w:rsidRPr="00BB6F04">
        <w:t xml:space="preserve">sito </w:t>
      </w:r>
      <w:r w:rsidR="00AF0CBB" w:rsidRPr="00BB6F04">
        <w:t>istituzionale</w:t>
      </w:r>
      <w:r w:rsidR="00840C49" w:rsidRPr="00BB6F04">
        <w:t xml:space="preserve"> d</w:t>
      </w:r>
      <w:r w:rsidR="00AF0CBB" w:rsidRPr="00BB6F04">
        <w:t>ell’</w:t>
      </w:r>
      <w:r w:rsidR="00840C49" w:rsidRPr="00BB6F04">
        <w:t>Aten</w:t>
      </w:r>
      <w:r w:rsidR="00AF0CBB" w:rsidRPr="00BB6F04">
        <w:t xml:space="preserve">eo, </w:t>
      </w:r>
      <w:r w:rsidRPr="00BB6F04">
        <w:t>permettono</w:t>
      </w:r>
      <w:r w:rsidR="00AF0CBB" w:rsidRPr="00BB6F04">
        <w:t xml:space="preserve"> una condivisione </w:t>
      </w:r>
      <w:r w:rsidRPr="00BB6F04">
        <w:t xml:space="preserve">delle stesse </w:t>
      </w:r>
      <w:r w:rsidR="00AF0CBB" w:rsidRPr="00BB6F04">
        <w:t>con le biblioteche esterne</w:t>
      </w:r>
      <w:r w:rsidRPr="00BB6F04">
        <w:t>.</w:t>
      </w:r>
    </w:p>
    <w:p w:rsidR="00EF4091" w:rsidRDefault="00EF4091" w:rsidP="00AF0CBB">
      <w:pPr>
        <w:pStyle w:val="Paragrafoelenco"/>
        <w:ind w:left="0"/>
        <w:jc w:val="both"/>
      </w:pPr>
    </w:p>
    <w:p w:rsidR="00514BB3" w:rsidRDefault="00EF4091" w:rsidP="00927E68">
      <w:pPr>
        <w:spacing w:after="0"/>
        <w:jc w:val="both"/>
      </w:pPr>
      <w:r>
        <w:t>Nel 2014</w:t>
      </w:r>
      <w:r w:rsidR="00927E68">
        <w:t xml:space="preserve"> è stata avviata</w:t>
      </w:r>
      <w:r>
        <w:t xml:space="preserve">, sempre con l’Università degli studi di Perugia, </w:t>
      </w:r>
      <w:r w:rsidR="00514BB3">
        <w:t>dalle rispettive Commissioni</w:t>
      </w:r>
      <w:r w:rsidR="003646EB">
        <w:t xml:space="preserve"> </w:t>
      </w:r>
      <w:r w:rsidR="00927E68" w:rsidRPr="00927E68">
        <w:t>per l’integrazione ed il sostegno degli studenti disabili e con DSA</w:t>
      </w:r>
      <w:r w:rsidR="000E3515">
        <w:t>,</w:t>
      </w:r>
      <w:r w:rsidR="003646EB">
        <w:t xml:space="preserve"> </w:t>
      </w:r>
      <w:r w:rsidR="00514BB3">
        <w:t xml:space="preserve">una fase negoziale e preparatoria per la gestione e l'implementazione di servizi congiunti. </w:t>
      </w:r>
    </w:p>
    <w:p w:rsidR="00927E68" w:rsidRDefault="00514BB3" w:rsidP="00927E68">
      <w:pPr>
        <w:spacing w:after="0"/>
        <w:jc w:val="both"/>
      </w:pPr>
      <w:r>
        <w:t xml:space="preserve">In tale fase si è arrivati alla </w:t>
      </w:r>
      <w:r w:rsidR="00927E68">
        <w:t>condivisione</w:t>
      </w:r>
      <w:r w:rsidR="003646EB">
        <w:t xml:space="preserve"> </w:t>
      </w:r>
      <w:r w:rsidR="00927E68">
        <w:t>di un piano di azioni congiunte. In particolare si realizzeranno:</w:t>
      </w:r>
    </w:p>
    <w:p w:rsidR="00196FD0" w:rsidRDefault="00196FD0" w:rsidP="00927E68">
      <w:pPr>
        <w:pStyle w:val="Paragrafoelenco"/>
        <w:numPr>
          <w:ilvl w:val="0"/>
          <w:numId w:val="2"/>
        </w:numPr>
        <w:spacing w:after="0"/>
        <w:jc w:val="both"/>
      </w:pPr>
      <w:r>
        <w:t>raccolta congiunta schede informative studenti;</w:t>
      </w:r>
    </w:p>
    <w:p w:rsidR="00927E68" w:rsidRDefault="00927E68" w:rsidP="00927E68">
      <w:pPr>
        <w:pStyle w:val="Paragrafoelenco"/>
        <w:numPr>
          <w:ilvl w:val="0"/>
          <w:numId w:val="2"/>
        </w:numPr>
        <w:spacing w:after="0"/>
        <w:jc w:val="both"/>
      </w:pPr>
      <w:r>
        <w:t xml:space="preserve">attività formative congiunte destinate al personale di entrambi gli </w:t>
      </w:r>
      <w:r w:rsidR="00EE7A7E">
        <w:t>A</w:t>
      </w:r>
      <w:r>
        <w:t>tenei;</w:t>
      </w:r>
    </w:p>
    <w:p w:rsidR="00927E68" w:rsidRDefault="00EE7A7E" w:rsidP="00927E68">
      <w:pPr>
        <w:pStyle w:val="Paragrafoelenco"/>
        <w:numPr>
          <w:ilvl w:val="0"/>
          <w:numId w:val="2"/>
        </w:numPr>
        <w:spacing w:after="0"/>
        <w:jc w:val="both"/>
      </w:pPr>
      <w:r>
        <w:t>due</w:t>
      </w:r>
      <w:r w:rsidR="00927E68">
        <w:t xml:space="preserve"> laboratori multimediali destinati a studenti disabili;</w:t>
      </w:r>
    </w:p>
    <w:p w:rsidR="00927E68" w:rsidRDefault="00BB6F04" w:rsidP="00927E68">
      <w:pPr>
        <w:pStyle w:val="Paragrafoelenco"/>
        <w:numPr>
          <w:ilvl w:val="0"/>
          <w:numId w:val="2"/>
        </w:numPr>
        <w:spacing w:after="0"/>
        <w:jc w:val="both"/>
      </w:pPr>
      <w:r w:rsidRPr="00BB6F04">
        <w:t>attività congiunta di Couseling speci</w:t>
      </w:r>
      <w:r>
        <w:t>a</w:t>
      </w:r>
      <w:r w:rsidRPr="00BB6F04">
        <w:t>lizzato</w:t>
      </w:r>
      <w:r>
        <w:t>.</w:t>
      </w:r>
    </w:p>
    <w:p w:rsidR="00514BB3" w:rsidRDefault="00514BB3" w:rsidP="003D3361">
      <w:pPr>
        <w:spacing w:after="0"/>
        <w:jc w:val="both"/>
      </w:pPr>
    </w:p>
    <w:p w:rsidR="00514BB3" w:rsidRPr="00BB6F04" w:rsidRDefault="00514BB3" w:rsidP="003D3361">
      <w:pPr>
        <w:spacing w:after="0"/>
        <w:jc w:val="both"/>
      </w:pPr>
      <w:r>
        <w:t>E’ attualmente in fase di sottoscrizione un protocollo d'intesa tra i due Atenei.</w:t>
      </w:r>
    </w:p>
    <w:p w:rsidR="00196FD0" w:rsidRDefault="00196FD0" w:rsidP="00196FD0">
      <w:pPr>
        <w:spacing w:after="0"/>
        <w:jc w:val="both"/>
      </w:pPr>
    </w:p>
    <w:p w:rsidR="00514BB3" w:rsidRDefault="00514BB3" w:rsidP="00196FD0">
      <w:pPr>
        <w:jc w:val="both"/>
      </w:pPr>
      <w:r>
        <w:t>Pertanto</w:t>
      </w:r>
      <w:r w:rsidR="00E96880">
        <w:t>,</w:t>
      </w:r>
      <w:r>
        <w:t xml:space="preserve"> mentre l’obiettivo 2.2.b.1 risulta realizzato per entrambe le azioni, quello relativo alla messa a regime del processo di unificazione e condivisione (2.2.b.2)</w:t>
      </w:r>
      <w:r w:rsidR="003646EB">
        <w:t xml:space="preserve"> </w:t>
      </w:r>
      <w:r>
        <w:t xml:space="preserve">è raggiunto solo per quanto riguarda l’unificazione dei servizi bibliotecari. </w:t>
      </w:r>
    </w:p>
    <w:p w:rsidR="00196FD0" w:rsidRDefault="00196FD0" w:rsidP="00DE7298">
      <w:pPr>
        <w:jc w:val="both"/>
      </w:pPr>
    </w:p>
    <w:p w:rsidR="003F3A09" w:rsidRDefault="003F3A09" w:rsidP="00DE7298">
      <w:pPr>
        <w:jc w:val="both"/>
      </w:pPr>
      <w:r>
        <w:t>Allegati:</w:t>
      </w:r>
    </w:p>
    <w:p w:rsidR="003F3A09" w:rsidRPr="00F1735D" w:rsidRDefault="003F3A09" w:rsidP="003F3A09">
      <w:pPr>
        <w:pStyle w:val="Paragrafoelenco"/>
        <w:numPr>
          <w:ilvl w:val="0"/>
          <w:numId w:val="1"/>
        </w:numPr>
        <w:jc w:val="both"/>
      </w:pPr>
      <w:r w:rsidRPr="00F1735D">
        <w:t>Programma</w:t>
      </w:r>
      <w:r w:rsidR="00927E68" w:rsidRPr="00F1735D">
        <w:t>zione</w:t>
      </w:r>
      <w:r w:rsidRPr="00F1735D">
        <w:t xml:space="preserve"> triennale</w:t>
      </w:r>
      <w:r w:rsidR="00927E68" w:rsidRPr="00F1735D">
        <w:t xml:space="preserve"> 2013/2015</w:t>
      </w:r>
      <w:r w:rsidR="00826C18">
        <w:t xml:space="preserve"> (ALL. 1)</w:t>
      </w:r>
      <w:r w:rsidR="000E3515">
        <w:t>;</w:t>
      </w:r>
    </w:p>
    <w:p w:rsidR="003F3A09" w:rsidRPr="00F1735D" w:rsidRDefault="003F3A09" w:rsidP="003F3A09">
      <w:pPr>
        <w:pStyle w:val="Paragrafoelenco"/>
        <w:numPr>
          <w:ilvl w:val="0"/>
          <w:numId w:val="1"/>
        </w:numPr>
        <w:jc w:val="both"/>
      </w:pPr>
      <w:r w:rsidRPr="00F1735D">
        <w:t xml:space="preserve">Schema </w:t>
      </w:r>
      <w:r w:rsidR="00F1735D" w:rsidRPr="00F1735D">
        <w:t xml:space="preserve">sintesi </w:t>
      </w:r>
      <w:r w:rsidRPr="00F1735D">
        <w:t>programma</w:t>
      </w:r>
      <w:r w:rsidR="00927E68" w:rsidRPr="00F1735D">
        <w:t>zione triennale</w:t>
      </w:r>
      <w:r w:rsidR="00826C18">
        <w:t xml:space="preserve"> (ALL. 2)</w:t>
      </w:r>
      <w:r w:rsidR="000E3515">
        <w:t>;</w:t>
      </w:r>
    </w:p>
    <w:p w:rsidR="00927E68" w:rsidRPr="00F1735D" w:rsidRDefault="00927E68" w:rsidP="003F3A09">
      <w:pPr>
        <w:pStyle w:val="Paragrafoelenco"/>
        <w:numPr>
          <w:ilvl w:val="0"/>
          <w:numId w:val="1"/>
        </w:numPr>
        <w:jc w:val="both"/>
      </w:pPr>
      <w:r w:rsidRPr="00F1735D">
        <w:t xml:space="preserve">Schema </w:t>
      </w:r>
      <w:r w:rsidR="008970CE" w:rsidRPr="00F1735D">
        <w:t>obiettivi e</w:t>
      </w:r>
      <w:r w:rsidRPr="00F1735D">
        <w:t xml:space="preserve"> indicatori</w:t>
      </w:r>
      <w:r w:rsidR="00826C18">
        <w:t xml:space="preserve"> (ALL. 3)</w:t>
      </w:r>
      <w:r w:rsidR="000E3515">
        <w:t>.</w:t>
      </w:r>
    </w:p>
    <w:p w:rsidR="00CC620B" w:rsidRPr="00CC620B" w:rsidRDefault="00CC620B" w:rsidP="00CC620B"/>
    <w:p w:rsidR="00CC620B" w:rsidRDefault="00CC620B" w:rsidP="00CC620B"/>
    <w:p w:rsidR="004C0526" w:rsidRPr="00CC620B" w:rsidRDefault="00CC620B" w:rsidP="00CC620B">
      <w:pPr>
        <w:tabs>
          <w:tab w:val="left" w:pos="2832"/>
        </w:tabs>
      </w:pPr>
      <w:r>
        <w:tab/>
      </w:r>
    </w:p>
    <w:sectPr w:rsidR="004C0526" w:rsidRPr="00CC620B" w:rsidSect="00CC620B">
      <w:headerReference w:type="default" r:id="rId9"/>
      <w:footerReference w:type="default" r:id="rId10"/>
      <w:pgSz w:w="11906" w:h="16838"/>
      <w:pgMar w:top="2836" w:right="1134" w:bottom="1276" w:left="1134"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6B5" w:rsidRDefault="00D136B5" w:rsidP="00CC620B">
      <w:pPr>
        <w:spacing w:after="0" w:line="240" w:lineRule="auto"/>
      </w:pPr>
      <w:r>
        <w:separator/>
      </w:r>
    </w:p>
  </w:endnote>
  <w:endnote w:type="continuationSeparator" w:id="0">
    <w:p w:rsidR="00D136B5" w:rsidRDefault="00D136B5" w:rsidP="00CC62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9943604"/>
      <w:docPartObj>
        <w:docPartGallery w:val="Page Numbers (Bottom of Page)"/>
        <w:docPartUnique/>
      </w:docPartObj>
    </w:sdtPr>
    <w:sdtEndPr>
      <w:rPr>
        <w:sz w:val="18"/>
        <w:szCs w:val="18"/>
      </w:rPr>
    </w:sdtEndPr>
    <w:sdtContent>
      <w:p w:rsidR="00CC620B" w:rsidRDefault="00CC620B">
        <w:pPr>
          <w:pStyle w:val="Pidipagina"/>
          <w:jc w:val="center"/>
        </w:pPr>
      </w:p>
      <w:p w:rsidR="00CC620B" w:rsidRDefault="00CC620B">
        <w:pPr>
          <w:pStyle w:val="Pidipagina"/>
          <w:jc w:val="center"/>
        </w:pPr>
      </w:p>
      <w:p w:rsidR="00CC620B" w:rsidRPr="00CC620B" w:rsidRDefault="003467A0">
        <w:pPr>
          <w:pStyle w:val="Pidipagina"/>
          <w:jc w:val="center"/>
          <w:rPr>
            <w:sz w:val="18"/>
            <w:szCs w:val="18"/>
          </w:rPr>
        </w:pPr>
        <w:r w:rsidRPr="00CC620B">
          <w:rPr>
            <w:sz w:val="18"/>
            <w:szCs w:val="18"/>
          </w:rPr>
          <w:fldChar w:fldCharType="begin"/>
        </w:r>
        <w:r w:rsidR="00CC620B" w:rsidRPr="00CC620B">
          <w:rPr>
            <w:sz w:val="18"/>
            <w:szCs w:val="18"/>
          </w:rPr>
          <w:instrText>PAGE   \* MERGEFORMAT</w:instrText>
        </w:r>
        <w:r w:rsidRPr="00CC620B">
          <w:rPr>
            <w:sz w:val="18"/>
            <w:szCs w:val="18"/>
          </w:rPr>
          <w:fldChar w:fldCharType="separate"/>
        </w:r>
        <w:r w:rsidR="003646EB">
          <w:rPr>
            <w:noProof/>
            <w:sz w:val="18"/>
            <w:szCs w:val="18"/>
          </w:rPr>
          <w:t>1</w:t>
        </w:r>
        <w:r w:rsidRPr="00CC620B">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6B5" w:rsidRDefault="00D136B5" w:rsidP="00CC620B">
      <w:pPr>
        <w:spacing w:after="0" w:line="240" w:lineRule="auto"/>
      </w:pPr>
      <w:r>
        <w:separator/>
      </w:r>
    </w:p>
  </w:footnote>
  <w:footnote w:type="continuationSeparator" w:id="0">
    <w:p w:rsidR="00D136B5" w:rsidRDefault="00D136B5" w:rsidP="00CC62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20B" w:rsidRDefault="00CC620B" w:rsidP="00CC620B">
    <w:pPr>
      <w:pStyle w:val="Intestazione"/>
      <w:pBdr>
        <w:bottom w:val="single" w:sz="4" w:space="0" w:color="auto"/>
      </w:pBdr>
      <w:tabs>
        <w:tab w:val="clear" w:pos="4819"/>
      </w:tabs>
    </w:pPr>
    <w:r>
      <w:rPr>
        <w:noProof/>
        <w:lang w:eastAsia="it-IT"/>
      </w:rPr>
      <w:drawing>
        <wp:inline distT="0" distB="0" distL="0" distR="0">
          <wp:extent cx="1965960" cy="854075"/>
          <wp:effectExtent l="19050" t="0" r="0" b="0"/>
          <wp:docPr id="2" name="Immagine 2" descr="\\Elettra\storage\DirAmmvo\AAccadem\Serv.Organi Coll\Condivisa\Nucleo Valutazione\NUCLEO DI VALUTAZIONE\RIUNIONI NDV\2015\MATRICI\Logo NNUOVO trasp. gius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ttra\storage\DirAmmvo\AAccadem\Serv.Organi Coll\Condivisa\Nucleo Valutazione\NUCLEO DI VALUTAZIONE\RIUNIONI NDV\2015\MATRICI\Logo NNUOVO trasp. giust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5960" cy="854075"/>
                  </a:xfrm>
                  <a:prstGeom prst="rect">
                    <a:avLst/>
                  </a:prstGeom>
                  <a:noFill/>
                  <a:ln>
                    <a:noFill/>
                  </a:ln>
                </pic:spPr>
              </pic:pic>
            </a:graphicData>
          </a:graphic>
        </wp:inline>
      </w:drawing>
    </w:r>
    <w:r>
      <w:t xml:space="preserve">                                                                         </w:t>
    </w:r>
  </w:p>
  <w:p w:rsidR="00CC620B" w:rsidRDefault="00CC620B" w:rsidP="00CC620B">
    <w:pPr>
      <w:pStyle w:val="Intestazione"/>
      <w:pBdr>
        <w:bottom w:val="single" w:sz="4" w:space="0" w:color="auto"/>
      </w:pBdr>
      <w:tabs>
        <w:tab w:val="clear" w:pos="4819"/>
      </w:tabs>
    </w:pPr>
    <w:r>
      <w:t xml:space="preserve">                                                                                                                                       </w:t>
    </w:r>
    <w:r w:rsidRPr="00CC620B">
      <w:rPr>
        <w:rFonts w:ascii="Times New Roman" w:hAnsi="Times New Roman" w:cs="Times New Roman"/>
        <w:i/>
      </w:rPr>
      <w:t>Nucleo di Valutazione di Ateneo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0486A"/>
    <w:multiLevelType w:val="hybridMultilevel"/>
    <w:tmpl w:val="8F961608"/>
    <w:lvl w:ilvl="0" w:tplc="D2FA650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A1E6355"/>
    <w:multiLevelType w:val="hybridMultilevel"/>
    <w:tmpl w:val="A80A22E2"/>
    <w:lvl w:ilvl="0" w:tplc="D2FA650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FE84609"/>
    <w:multiLevelType w:val="hybridMultilevel"/>
    <w:tmpl w:val="07943C3A"/>
    <w:lvl w:ilvl="0" w:tplc="C716159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73DB6B12"/>
    <w:multiLevelType w:val="hybridMultilevel"/>
    <w:tmpl w:val="2DAC7AB0"/>
    <w:lvl w:ilvl="0" w:tplc="D2FA650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trackRevisions/>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9966C6"/>
    <w:rsid w:val="0008766A"/>
    <w:rsid w:val="000E3515"/>
    <w:rsid w:val="00196FD0"/>
    <w:rsid w:val="00284798"/>
    <w:rsid w:val="00302829"/>
    <w:rsid w:val="003467A0"/>
    <w:rsid w:val="003646EB"/>
    <w:rsid w:val="003C7682"/>
    <w:rsid w:val="003D3361"/>
    <w:rsid w:val="003F3A09"/>
    <w:rsid w:val="00436370"/>
    <w:rsid w:val="004820BC"/>
    <w:rsid w:val="004C0526"/>
    <w:rsid w:val="00514BB3"/>
    <w:rsid w:val="005C2C53"/>
    <w:rsid w:val="005F0F69"/>
    <w:rsid w:val="006B4D45"/>
    <w:rsid w:val="006C71C2"/>
    <w:rsid w:val="00826C18"/>
    <w:rsid w:val="00840C49"/>
    <w:rsid w:val="00886C22"/>
    <w:rsid w:val="008970CE"/>
    <w:rsid w:val="008B7E06"/>
    <w:rsid w:val="008D4632"/>
    <w:rsid w:val="009051CF"/>
    <w:rsid w:val="00920242"/>
    <w:rsid w:val="00927E68"/>
    <w:rsid w:val="00951FD2"/>
    <w:rsid w:val="009966C6"/>
    <w:rsid w:val="00A37F61"/>
    <w:rsid w:val="00AF0CBB"/>
    <w:rsid w:val="00B17ABD"/>
    <w:rsid w:val="00BB4DA5"/>
    <w:rsid w:val="00BB6F04"/>
    <w:rsid w:val="00BD2A39"/>
    <w:rsid w:val="00BD4D3C"/>
    <w:rsid w:val="00BD5CE6"/>
    <w:rsid w:val="00C85D7D"/>
    <w:rsid w:val="00CC620B"/>
    <w:rsid w:val="00CD6EDC"/>
    <w:rsid w:val="00D136B5"/>
    <w:rsid w:val="00D34DBE"/>
    <w:rsid w:val="00DE7298"/>
    <w:rsid w:val="00E8094C"/>
    <w:rsid w:val="00E96880"/>
    <w:rsid w:val="00EE7A7E"/>
    <w:rsid w:val="00EF4091"/>
    <w:rsid w:val="00F1735D"/>
    <w:rsid w:val="00F56D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467A0"/>
  </w:style>
  <w:style w:type="paragraph" w:styleId="Titolo1">
    <w:name w:val="heading 1"/>
    <w:basedOn w:val="Normale"/>
    <w:link w:val="Titolo1Carattere"/>
    <w:uiPriority w:val="9"/>
    <w:qFormat/>
    <w:rsid w:val="00EF40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C62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620B"/>
    <w:rPr>
      <w:rFonts w:ascii="Tahoma" w:hAnsi="Tahoma" w:cs="Tahoma"/>
      <w:sz w:val="16"/>
      <w:szCs w:val="16"/>
    </w:rPr>
  </w:style>
  <w:style w:type="paragraph" w:styleId="Intestazione">
    <w:name w:val="header"/>
    <w:basedOn w:val="Normale"/>
    <w:link w:val="IntestazioneCarattere"/>
    <w:uiPriority w:val="99"/>
    <w:unhideWhenUsed/>
    <w:rsid w:val="00CC620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620B"/>
  </w:style>
  <w:style w:type="paragraph" w:styleId="Pidipagina">
    <w:name w:val="footer"/>
    <w:basedOn w:val="Normale"/>
    <w:link w:val="PidipaginaCarattere"/>
    <w:uiPriority w:val="99"/>
    <w:unhideWhenUsed/>
    <w:rsid w:val="00CC62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620B"/>
  </w:style>
  <w:style w:type="paragraph" w:styleId="Paragrafoelenco">
    <w:name w:val="List Paragraph"/>
    <w:basedOn w:val="Normale"/>
    <w:uiPriority w:val="34"/>
    <w:qFormat/>
    <w:rsid w:val="003F3A09"/>
    <w:pPr>
      <w:ind w:left="720"/>
      <w:contextualSpacing/>
    </w:pPr>
  </w:style>
  <w:style w:type="character" w:customStyle="1" w:styleId="Titolo1Carattere">
    <w:name w:val="Titolo 1 Carattere"/>
    <w:basedOn w:val="Carpredefinitoparagrafo"/>
    <w:link w:val="Titolo1"/>
    <w:uiPriority w:val="9"/>
    <w:rsid w:val="00EF4091"/>
    <w:rPr>
      <w:rFonts w:ascii="Times New Roman" w:eastAsia="Times New Roman" w:hAnsi="Times New Roman" w:cs="Times New Roman"/>
      <w:b/>
      <w:bCs/>
      <w:kern w:val="36"/>
      <w:sz w:val="48"/>
      <w:szCs w:val="4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C62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620B"/>
    <w:rPr>
      <w:rFonts w:ascii="Tahoma" w:hAnsi="Tahoma" w:cs="Tahoma"/>
      <w:sz w:val="16"/>
      <w:szCs w:val="16"/>
    </w:rPr>
  </w:style>
  <w:style w:type="paragraph" w:styleId="Intestazione">
    <w:name w:val="header"/>
    <w:basedOn w:val="Normale"/>
    <w:link w:val="IntestazioneCarattere"/>
    <w:uiPriority w:val="99"/>
    <w:unhideWhenUsed/>
    <w:rsid w:val="00CC620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620B"/>
  </w:style>
  <w:style w:type="paragraph" w:styleId="Pidipagina">
    <w:name w:val="footer"/>
    <w:basedOn w:val="Normale"/>
    <w:link w:val="PidipaginaCarattere"/>
    <w:uiPriority w:val="99"/>
    <w:unhideWhenUsed/>
    <w:rsid w:val="00CC620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6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598303">
      <w:bodyDiv w:val="1"/>
      <w:marLeft w:val="0"/>
      <w:marRight w:val="0"/>
      <w:marTop w:val="0"/>
      <w:marBottom w:val="0"/>
      <w:divBdr>
        <w:top w:val="none" w:sz="0" w:space="0" w:color="auto"/>
        <w:left w:val="none" w:sz="0" w:space="0" w:color="auto"/>
        <w:bottom w:val="none" w:sz="0" w:space="0" w:color="auto"/>
        <w:right w:val="none" w:sz="0" w:space="0" w:color="auto"/>
      </w:divBdr>
    </w:div>
    <w:div w:id="804661382">
      <w:bodyDiv w:val="1"/>
      <w:marLeft w:val="0"/>
      <w:marRight w:val="0"/>
      <w:marTop w:val="0"/>
      <w:marBottom w:val="0"/>
      <w:divBdr>
        <w:top w:val="none" w:sz="0" w:space="0" w:color="auto"/>
        <w:left w:val="none" w:sz="0" w:space="0" w:color="auto"/>
        <w:bottom w:val="none" w:sz="0" w:space="0" w:color="auto"/>
        <w:right w:val="none" w:sz="0" w:space="0" w:color="auto"/>
      </w:divBdr>
    </w:div>
    <w:div w:id="868832177">
      <w:bodyDiv w:val="1"/>
      <w:marLeft w:val="0"/>
      <w:marRight w:val="0"/>
      <w:marTop w:val="0"/>
      <w:marBottom w:val="0"/>
      <w:divBdr>
        <w:top w:val="none" w:sz="0" w:space="0" w:color="auto"/>
        <w:left w:val="none" w:sz="0" w:space="0" w:color="auto"/>
        <w:bottom w:val="none" w:sz="0" w:space="0" w:color="auto"/>
        <w:right w:val="none" w:sz="0" w:space="0" w:color="auto"/>
      </w:divBdr>
    </w:div>
    <w:div w:id="1692148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AEE7B-B9F8-467F-969C-D2B99F638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Pages>
  <Words>1023</Words>
  <Characters>5832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Nicoletta Berellini</dc:creator>
  <cp:lastModifiedBy>Nicoletta Berellini</cp:lastModifiedBy>
  <cp:revision>36</cp:revision>
  <cp:lastPrinted>2015-03-02T11:23:00Z</cp:lastPrinted>
  <dcterms:created xsi:type="dcterms:W3CDTF">2015-03-02T08:12:00Z</dcterms:created>
  <dcterms:modified xsi:type="dcterms:W3CDTF">2015-06-24T15:04:00Z</dcterms:modified>
</cp:coreProperties>
</file>