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D8DC" w14:textId="77777777" w:rsidR="000F246D" w:rsidRPr="000F246D" w:rsidRDefault="000F246D" w:rsidP="000F246D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F246D">
        <w:rPr>
          <w:noProof/>
          <w:sz w:val="24"/>
          <w:szCs w:val="24"/>
          <w:lang w:eastAsia="it-IT"/>
        </w:rPr>
        <w:drawing>
          <wp:inline distT="0" distB="0" distL="0" distR="0" wp14:anchorId="1ED64B57" wp14:editId="1E151782">
            <wp:extent cx="1678305" cy="1191895"/>
            <wp:effectExtent l="0" t="0" r="0" b="8255"/>
            <wp:docPr id="1" name="Immagine 1" descr="C:\Users\Giovanni\Desktop\Centro TU_LE\LOGO TU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iovanni\Desktop\Centro TU_LE\LOGO TU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A3C33" w14:textId="77777777" w:rsidR="000F246D" w:rsidRDefault="000F246D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26F6350A" w14:textId="77777777" w:rsidR="00C74ABC" w:rsidRDefault="00C74ABC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23A3BBE5" w14:textId="22879DA3" w:rsidR="00C74ABC" w:rsidRPr="00C74ABC" w:rsidRDefault="00C74ABC" w:rsidP="00C74ABC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C74ABC">
        <w:rPr>
          <w:rFonts w:ascii="Garamond" w:hAnsi="Garamond"/>
          <w:color w:val="000000"/>
          <w:sz w:val="28"/>
          <w:szCs w:val="28"/>
          <w:shd w:val="clear" w:color="auto" w:fill="FFFFFF"/>
        </w:rPr>
        <w:t>Troisième colloque international du Centre de recherche TULE</w:t>
      </w:r>
    </w:p>
    <w:p w14:paraId="5B6C0D71" w14:textId="77777777" w:rsidR="00C74ABC" w:rsidRPr="00C74ABC" w:rsidRDefault="00C74ABC" w:rsidP="00C74ABC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  <w:shd w:val="clear" w:color="auto" w:fill="FFFFFF"/>
        </w:rPr>
      </w:pPr>
    </w:p>
    <w:p w14:paraId="5B4C8C4E" w14:textId="06A185D7" w:rsidR="00C74ABC" w:rsidRPr="00C74ABC" w:rsidRDefault="00C74ABC" w:rsidP="00C74ABC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C74ABC">
        <w:rPr>
          <w:rFonts w:ascii="Garamond" w:hAnsi="Garamond"/>
          <w:color w:val="000000"/>
          <w:sz w:val="28"/>
          <w:szCs w:val="28"/>
          <w:shd w:val="clear" w:color="auto" w:fill="FFFFFF"/>
        </w:rPr>
        <w:t>Matera et Aliano (Italie, Basilicate)</w:t>
      </w:r>
    </w:p>
    <w:p w14:paraId="22AF6787" w14:textId="77777777" w:rsidR="00C74ABC" w:rsidRPr="00C74ABC" w:rsidRDefault="00C74ABC" w:rsidP="00C74ABC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  <w:shd w:val="clear" w:color="auto" w:fill="FFFFFF"/>
        </w:rPr>
      </w:pPr>
    </w:p>
    <w:p w14:paraId="3E235BB1" w14:textId="77777777" w:rsidR="00C74ABC" w:rsidRPr="00C74ABC" w:rsidRDefault="00C74ABC" w:rsidP="00C74ABC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C74ABC">
        <w:rPr>
          <w:rFonts w:ascii="Garamond" w:hAnsi="Garamond"/>
          <w:color w:val="000000"/>
          <w:sz w:val="28"/>
          <w:szCs w:val="28"/>
          <w:shd w:val="clear" w:color="auto" w:fill="FFFFFF"/>
        </w:rPr>
        <w:t>11-12 octobre 2024</w:t>
      </w:r>
    </w:p>
    <w:p w14:paraId="6D81713C" w14:textId="77777777" w:rsidR="00C74ABC" w:rsidRPr="00C74ABC" w:rsidRDefault="00C74ABC" w:rsidP="00C74ABC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</w:pPr>
    </w:p>
    <w:p w14:paraId="19E20622" w14:textId="4616C2DF" w:rsidR="00C74ABC" w:rsidRPr="00C74ABC" w:rsidRDefault="00C74ABC" w:rsidP="00C74ABC">
      <w:pPr>
        <w:spacing w:after="0" w:line="240" w:lineRule="auto"/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74ABC">
        <w:rPr>
          <w:rFonts w:ascii="Garamond" w:hAnsi="Garamond"/>
          <w:b/>
          <w:bCs/>
          <w:i/>
          <w:iCs/>
          <w:color w:val="000000"/>
          <w:sz w:val="28"/>
          <w:szCs w:val="28"/>
          <w:shd w:val="clear" w:color="auto" w:fill="FFFFFF"/>
        </w:rPr>
        <w:t>Le tourisme littéraire dans les lieux de confinement, d</w:t>
      </w:r>
      <w:r w:rsidR="00884D12">
        <w:rPr>
          <w:rFonts w:ascii="Garamond" w:hAnsi="Garamond"/>
          <w:b/>
          <w:bCs/>
          <w:i/>
          <w:iCs/>
          <w:color w:val="000000"/>
          <w:sz w:val="28"/>
          <w:szCs w:val="28"/>
          <w:shd w:val="clear" w:color="auto" w:fill="FFFFFF"/>
        </w:rPr>
        <w:t>’</w:t>
      </w:r>
      <w:r w:rsidRPr="00C74ABC">
        <w:rPr>
          <w:rFonts w:ascii="Garamond" w:hAnsi="Garamond"/>
          <w:b/>
          <w:bCs/>
          <w:i/>
          <w:iCs/>
          <w:color w:val="000000"/>
          <w:sz w:val="28"/>
          <w:szCs w:val="28"/>
          <w:shd w:val="clear" w:color="auto" w:fill="FFFFFF"/>
        </w:rPr>
        <w:t>exil et de prison.</w:t>
      </w:r>
    </w:p>
    <w:p w14:paraId="0F11F93B" w14:textId="77777777" w:rsid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6E0F27C0" w14:textId="77777777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3F930CB9" w14:textId="38CACFA4" w:rsidR="00C74ABC" w:rsidRPr="00C74ABC" w:rsidRDefault="00C74ABC" w:rsidP="00C74ABC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Appel à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communications</w:t>
      </w:r>
    </w:p>
    <w:p w14:paraId="075BE935" w14:textId="77777777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6C0E3B1E" w14:textId="4174405B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Le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Centre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de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recherche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sur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le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tourisme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littéraire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(</w:t>
      </w:r>
      <w:hyperlink r:id="rId5" w:history="1">
        <w:r w:rsidRPr="00090F9B">
          <w:rPr>
            <w:rStyle w:val="Collegamentoipertestuale"/>
            <w:rFonts w:ascii="Garamond" w:hAnsi="Garamond"/>
            <w:sz w:val="24"/>
            <w:szCs w:val="24"/>
            <w:shd w:val="clear" w:color="auto" w:fill="FFFFFF"/>
          </w:rPr>
          <w:t>https://www.unistrapg.it/it/ricerca/ricerca/dipartimenti-e-centri/centro-sul-turismo-letterario-tule</w:t>
        </w:r>
      </w:hyperlink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après les deux premi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rs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colloques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internationa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ux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qui se sont 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tenus à l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Université pour étrangers de Pérouse, en Italie,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en novembre 2022,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puis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à l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Université de l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Algarve, au Portugal, en septembre 2023,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organise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son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troisième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colloque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international à Aliano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(Basilicate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, Italie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où se trouve le 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P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arc littéraire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consacré à l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écrivain 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Carlo Levi, avec une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séance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ouverture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à Matera.</w:t>
      </w:r>
    </w:p>
    <w:p w14:paraId="78FED5D2" w14:textId="77777777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635DD718" w14:textId="47E851BD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Le thème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du colloque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international qui se tiendra </w:t>
      </w:r>
      <w:r w:rsidRPr="00884D12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les 11 et 12 octobre 2024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est 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“</w:t>
      </w:r>
      <w:r w:rsidRPr="00884D12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Le tourisme littéraire dans les lieux de confinement, d</w:t>
      </w:r>
      <w:r w:rsidR="00884D12" w:rsidRPr="00884D12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’</w:t>
      </w:r>
      <w:r w:rsidRPr="00884D12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exil et d</w:t>
      </w:r>
      <w:r w:rsidR="00884D12" w:rsidRPr="00884D12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e prison</w:t>
      </w:r>
      <w:r w:rsidR="00884D12" w:rsidRP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”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. L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après-midi du 10 octobre, une table ronde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sur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les 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P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arcs littéraires de la région de Basilicate aura lieu à Matera, en guise de préouverture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du colloque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et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comme lieu de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rendez-vous pour les participants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qui se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rendr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ont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ensuite, en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auto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bus,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jusqu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à Aliano.</w:t>
      </w:r>
    </w:p>
    <w:p w14:paraId="22118CA9" w14:textId="77777777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164DFA2D" w14:textId="538F6CD7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Le thème du colloque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, lié à l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expérience de Carlo Levi, intellectuel et écrivain antifasciste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confiné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à Aliano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dans les années 1930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, vise à examiner, à travers des cas spécifiques, comment le tourisme littéraire s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est développé ou pourrait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potentiellement 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se développer dans des lieux d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e confinement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,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exil et de prison.</w:t>
      </w:r>
    </w:p>
    <w:p w14:paraId="48834E77" w14:textId="77777777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7065F4F5" w14:textId="3694A663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Les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propositions de communication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peuvent concerner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:</w:t>
      </w:r>
    </w:p>
    <w:p w14:paraId="12735105" w14:textId="77777777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7CE2E939" w14:textId="3F709770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d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es expériences de tourisme littéraire qui se sont développées dans les lieux où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es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écrivaines et des 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écrivains ont passé des périodes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exil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, de confinement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et de réclusion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 ;</w:t>
      </w:r>
    </w:p>
    <w:p w14:paraId="5A40F485" w14:textId="7170E59F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- de nouveaux projets de valorisation des espaces littéraires liés aux lieux où les écrivains ont vécu des périodes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exil,</w:t>
      </w:r>
      <w:r w:rsidR="009C108A" w:rsidRPr="009C108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de confinement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et de réclusion ;</w:t>
      </w:r>
    </w:p>
    <w:p w14:paraId="08F17D78" w14:textId="30019E73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d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es textes littéraires liés à des expériences d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e confinement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,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exil ou de réclusion qui peuvent contribuer à favoriser le tourisme littéraire ;</w:t>
      </w:r>
    </w:p>
    <w:p w14:paraId="33670E54" w14:textId="7BF6BBAC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d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es récits de voyage et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d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es biographies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écrivaines et 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écrivains qui ont créé (ou qui, exploités de manière appropriée, peuvent créer) des produits, des propositions et des itinéraires de tourisme littéraire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;</w:t>
      </w:r>
    </w:p>
    <w:p w14:paraId="139D8D07" w14:textId="4C9B5A37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- l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analyse des expériences touristiques vécues par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d</w:t>
      </w:r>
      <w:r w:rsidR="009C108A"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es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écrivaines et d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es écrivains dans des lieux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exil, d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e confinement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ou de détention et qui ont donné lieu à des œuvres littéraires ;</w:t>
      </w:r>
    </w:p>
    <w:p w14:paraId="1E37F739" w14:textId="32BAE0AE" w:rsid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- l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analyse de textes littéraires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intérêt touristique liés à des moments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exil ou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enfermement.</w:t>
      </w:r>
    </w:p>
    <w:p w14:paraId="1D08A4EA" w14:textId="77777777" w:rsidR="00A231CB" w:rsidRPr="00C74ABC" w:rsidRDefault="00A231CB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6FC0D56C" w14:textId="2BCAAE4B" w:rsidR="00C74ABC" w:rsidRPr="00C74ABC" w:rsidRDefault="00A231CB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657F8D">
        <w:rPr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lastRenderedPageBreak/>
        <w:t>Dans tous les cas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, l</w:t>
      </w:r>
      <w:r w:rsidR="00C74ABC"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 thème du tourisme littéraire doit être au centre des interventions, qu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="00C74ABC"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il s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="00C74ABC"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agisse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="00C74ABC"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un tourisme déjà existant (et il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conviendra</w:t>
      </w:r>
      <w:r w:rsidR="00C74ABC"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de le documenter, y compris avec des données numériques et statistiques), ou de proposer la valorisation et la promotion des lieux de détention,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="00C74ABC"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exil et d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e confinement</w:t>
      </w:r>
      <w:r w:rsidR="00C74ABC"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à travers la présence et les œuvres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="00C74ABC"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écrivains.</w:t>
      </w:r>
    </w:p>
    <w:p w14:paraId="53C87BD5" w14:textId="77777777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792908F8" w14:textId="0A2C5EAC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Les interventions, qui pourront être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faites 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en italien, français, espagnol, portugais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ou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anglais, dureront 20 minutes chacune. Les contributions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approuvées par le Comité scientifique du Centre TULE et soumises à une double évaluation anonyme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seront publiées dans le volume portant le titre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du colloque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dans la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collection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du Centre TULE (Perugia Stranieri University Press),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collection avec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A231C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un 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Comité scientifique et en accès libre.</w:t>
      </w:r>
    </w:p>
    <w:p w14:paraId="1037BCB4" w14:textId="77777777" w:rsidR="00A231CB" w:rsidRDefault="00A231CB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364A0689" w14:textId="6338AC52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Les propositions doivent être envoyées à </w:t>
      </w:r>
      <w:hyperlink r:id="rId6" w:history="1">
        <w:r w:rsidR="009C108A" w:rsidRPr="00090F9B">
          <w:rPr>
            <w:rStyle w:val="Collegamentoipertestuale"/>
            <w:rFonts w:ascii="Garamond" w:hAnsi="Garamond"/>
            <w:sz w:val="24"/>
            <w:szCs w:val="24"/>
            <w:shd w:val="clear" w:color="auto" w:fill="FFFFFF"/>
          </w:rPr>
          <w:t>tule.literarytourismresearch@gmail.com</w:t>
        </w:r>
      </w:hyperlink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A231CB">
        <w:rPr>
          <w:rFonts w:ascii="Garamond" w:hAnsi="Garamond"/>
          <w:b/>
          <w:bCs/>
          <w:color w:val="FF0000"/>
          <w:sz w:val="24"/>
          <w:szCs w:val="24"/>
          <w:shd w:val="clear" w:color="auto" w:fill="FFFFFF"/>
        </w:rPr>
        <w:t>avant le 10 mai 2024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14:paraId="50E973BC" w14:textId="0EA0A17E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Les doctorants et les chercheurs doivent joindre à leur candidature une courte présentation rédigée et signée par leur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directeur de recherche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14:paraId="2709D574" w14:textId="45AE5BB8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Une réponse sur l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acceptation de la proposition sera donnée avant le 31 mai 2024 par les organisateurs.</w:t>
      </w:r>
    </w:p>
    <w:p w14:paraId="03323CDE" w14:textId="77777777" w:rsidR="00A231CB" w:rsidRDefault="00A231CB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3F4E9B08" w14:textId="558077C2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Les frais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inscription 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au colloque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élèvent à 100 euros (</w:t>
      </w:r>
      <w:r w:rsidRPr="00A231CB">
        <w:rPr>
          <w:rFonts w:ascii="Garamond" w:hAnsi="Garamond"/>
          <w:color w:val="FF0000"/>
          <w:sz w:val="24"/>
          <w:szCs w:val="24"/>
          <w:shd w:val="clear" w:color="auto" w:fill="FFFFFF"/>
        </w:rPr>
        <w:t>date limite de paiement le 20 juin 2024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) ou 150 euros (</w:t>
      </w:r>
      <w:r w:rsidR="00A231C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si 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inscription tardive après le 20 juin 2024).</w:t>
      </w:r>
    </w:p>
    <w:p w14:paraId="459E5E38" w14:textId="280D285D" w:rsid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Ces frais d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inscription couvrent également les coûts des déjeuners des 11 et 12 octobre.</w:t>
      </w:r>
    </w:p>
    <w:p w14:paraId="74760735" w14:textId="77777777" w:rsidR="00A231CB" w:rsidRPr="00C74ABC" w:rsidRDefault="00A231CB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4E7B3F3B" w14:textId="60AE711B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Les propositions soumises (qui peuvent être rédigées en italien, anglais, français, espagnol ou portugais) doivent contenir</w:t>
      </w:r>
      <w:r w:rsidR="00A231CB">
        <w:rPr>
          <w:rFonts w:ascii="Garamond" w:hAnsi="Garamond"/>
          <w:color w:val="000000"/>
          <w:sz w:val="24"/>
          <w:szCs w:val="24"/>
          <w:shd w:val="clear" w:color="auto" w:fill="FFFFFF"/>
        </w:rPr>
        <w:t> :</w:t>
      </w:r>
    </w:p>
    <w:p w14:paraId="69359505" w14:textId="6B61DD86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- un bref curriculum vitae de l</w:t>
      </w:r>
      <w:r w:rsidR="00884D12">
        <w:rPr>
          <w:rFonts w:ascii="Garamond" w:hAnsi="Garamond"/>
          <w:color w:val="000000"/>
          <w:sz w:val="24"/>
          <w:szCs w:val="24"/>
          <w:shd w:val="clear" w:color="auto" w:fill="FFFFFF"/>
        </w:rPr>
        <w:t>’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auteur de la proposition (100 mots maximum)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</w:p>
    <w:p w14:paraId="47A2D1CF" w14:textId="11465299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- le titre de l</w:t>
      </w:r>
      <w:r w:rsidR="00A231CB">
        <w:rPr>
          <w:rFonts w:ascii="Garamond" w:hAnsi="Garamond"/>
          <w:color w:val="000000"/>
          <w:sz w:val="24"/>
          <w:szCs w:val="24"/>
          <w:shd w:val="clear" w:color="auto" w:fill="FFFFFF"/>
        </w:rPr>
        <w:t>a communication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proposée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</w:p>
    <w:p w14:paraId="4C57C8BE" w14:textId="10B37912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un résumé de </w:t>
      </w:r>
      <w:r w:rsidR="00A231CB"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l</w:t>
      </w:r>
      <w:r w:rsidR="00A231CB">
        <w:rPr>
          <w:rFonts w:ascii="Garamond" w:hAnsi="Garamond"/>
          <w:color w:val="000000"/>
          <w:sz w:val="24"/>
          <w:szCs w:val="24"/>
          <w:shd w:val="clear" w:color="auto" w:fill="FFFFFF"/>
        </w:rPr>
        <w:t>a communication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(300 mots maximum)</w:t>
      </w:r>
      <w:r w:rsidR="009C108A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14:paraId="5EBCF2FE" w14:textId="77777777" w:rsidR="00C74ABC" w:rsidRPr="00C74ABC" w:rsidRDefault="00C74ABC" w:rsidP="00C74ABC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76206BC0" w14:textId="377C47A6" w:rsidR="00727C21" w:rsidRDefault="00C74ABC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Le comité scientifique du </w:t>
      </w:r>
      <w:r w:rsidR="00A231CB">
        <w:rPr>
          <w:rFonts w:ascii="Garamond" w:hAnsi="Garamond"/>
          <w:color w:val="000000"/>
          <w:sz w:val="24"/>
          <w:szCs w:val="24"/>
          <w:shd w:val="clear" w:color="auto" w:fill="FFFFFF"/>
        </w:rPr>
        <w:t>C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entre TULE et d</w:t>
      </w:r>
      <w:r w:rsidR="00A231C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u colloque </w:t>
      </w:r>
      <w:r w:rsidRPr="00C74ABC">
        <w:rPr>
          <w:rFonts w:ascii="Garamond" w:hAnsi="Garamond"/>
          <w:color w:val="000000"/>
          <w:sz w:val="24"/>
          <w:szCs w:val="24"/>
          <w:shd w:val="clear" w:color="auto" w:fill="FFFFFF"/>
        </w:rPr>
        <w:t>international est composé de :</w:t>
      </w:r>
    </w:p>
    <w:p w14:paraId="54D28C60" w14:textId="02D1989F" w:rsidR="00727C21" w:rsidRPr="00361A5C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color w:val="FF0000"/>
          <w:sz w:val="24"/>
          <w:szCs w:val="24"/>
          <w:lang w:eastAsia="it-IT"/>
        </w:rPr>
      </w:pP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Giovanni Capecchi (Università per Stranieri di 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Perugia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>, Itali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)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>, dire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cteur</w:t>
      </w:r>
    </w:p>
    <w:p w14:paraId="2C6020CF" w14:textId="6177BA1D" w:rsidR="00727C21" w:rsidRPr="00727C21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</w:pP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Elena Alexeeva (Universit</w:t>
      </w:r>
      <w:r w:rsidR="00657F8D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é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 d</w:t>
      </w:r>
      <w:r w:rsidR="00657F8D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e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 Voronej, Russi</w:t>
      </w:r>
      <w:r w:rsidR="00A231CB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e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)</w:t>
      </w:r>
    </w:p>
    <w:p w14:paraId="7ED7682E" w14:textId="53393D61" w:rsidR="00727C21" w:rsidRPr="00727C21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</w:pP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Lorenzo Bagnoli (Università 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di 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Milano</w:t>
      </w:r>
      <w:r w:rsidR="00361A5C" w:rsidRPr="00361A5C">
        <w:rPr>
          <w:rFonts w:ascii="Garamond" w:eastAsia="Times New Roman" w:hAnsi="Garamond" w:cs="Segoe UI"/>
          <w:color w:val="FF0000"/>
          <w:sz w:val="24"/>
          <w:szCs w:val="24"/>
          <w:lang w:eastAsia="it-IT"/>
        </w:rPr>
        <w:t>-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Bicocca, Itali</w:t>
      </w:r>
      <w:r w:rsidR="00A231CB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e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)</w:t>
      </w:r>
    </w:p>
    <w:p w14:paraId="28C4BBC0" w14:textId="0E9C683B" w:rsidR="00727C21" w:rsidRPr="00727C21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</w:pP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Rita Salomé Varela Andrade Rodrigues Baleiro (Universi</w:t>
      </w:r>
      <w:r w:rsidR="00657F8D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dade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 d</w:t>
      </w:r>
      <w:r w:rsidR="00657F8D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o 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Algarve, Port</w:t>
      </w:r>
      <w:r w:rsidR="00A231CB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ugal</w:t>
      </w: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>)</w:t>
      </w:r>
    </w:p>
    <w:p w14:paraId="1E638527" w14:textId="5477E8D5" w:rsidR="00727C21" w:rsidRPr="004528B6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727C21">
        <w:rPr>
          <w:rFonts w:ascii="Garamond" w:eastAsia="Times New Roman" w:hAnsi="Garamond" w:cs="Segoe UI"/>
          <w:color w:val="201F1E"/>
          <w:sz w:val="24"/>
          <w:szCs w:val="24"/>
          <w:lang w:eastAsia="it-IT"/>
        </w:rPr>
        <w:t xml:space="preserve">Rita Capurro (Università 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>di Milano-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Bicocca, Itali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)</w:t>
      </w:r>
    </w:p>
    <w:p w14:paraId="6AF7D8D2" w14:textId="7575842D" w:rsidR="00727C21" w:rsidRPr="004528B6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Yannick Gouchan (Aix-Marseille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 xml:space="preserve"> Université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, Franc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)</w:t>
      </w:r>
    </w:p>
    <w:p w14:paraId="4145DE36" w14:textId="02C0B372" w:rsidR="00727C21" w:rsidRPr="004528B6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Toni Marino (Università per Stranieri di Perugia, Itali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)</w:t>
      </w:r>
    </w:p>
    <w:p w14:paraId="306A8314" w14:textId="0D18210E" w:rsidR="00727C21" w:rsidRPr="004528B6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Matteo M. Pedroni (Universit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é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 d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 L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ausanne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, S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uisse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)</w:t>
      </w:r>
    </w:p>
    <w:p w14:paraId="0CFE7C40" w14:textId="77777777" w:rsidR="00657F8D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Jordi Arcos Pumarola (</w:t>
      </w:r>
      <w:r w:rsidR="004528B6"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CETT - 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Universit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at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 d</w:t>
      </w:r>
      <w:r w:rsidR="00657F8D">
        <w:rPr>
          <w:rFonts w:ascii="Garamond" w:eastAsia="Times New Roman" w:hAnsi="Garamond" w:cs="Segoe UI"/>
          <w:sz w:val="24"/>
          <w:szCs w:val="24"/>
          <w:lang w:eastAsia="it-IT"/>
        </w:rPr>
        <w:t>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 Barcelona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, 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Espagne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)</w:t>
      </w:r>
    </w:p>
    <w:p w14:paraId="29D1567A" w14:textId="40D380BC" w:rsidR="00004365" w:rsidRPr="00657F8D" w:rsidRDefault="00004365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004365">
        <w:rPr>
          <w:rFonts w:ascii="Garamond" w:hAnsi="Garamond"/>
          <w:color w:val="000000"/>
          <w:sz w:val="24"/>
          <w:szCs w:val="24"/>
          <w:bdr w:val="none" w:sz="0" w:space="0" w:color="auto" w:frame="1"/>
          <w:shd w:val="clear" w:color="auto" w:fill="FFFFFF"/>
        </w:rPr>
        <w:t>Roberto Ubbidiente (</w:t>
      </w:r>
      <w:r w:rsidRPr="00004365">
        <w:rPr>
          <w:rFonts w:ascii="Garamond" w:hAnsi="Garamond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Humboldt-Universität zu Berlin</w:t>
      </w:r>
      <w:r w:rsidRPr="00004365">
        <w:rPr>
          <w:rFonts w:ascii="Garamond" w:hAnsi="Garamond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A231CB">
        <w:rPr>
          <w:rFonts w:ascii="Garamond" w:hAnsi="Garamond"/>
          <w:color w:val="000000"/>
          <w:sz w:val="24"/>
          <w:szCs w:val="24"/>
          <w:bdr w:val="none" w:sz="0" w:space="0" w:color="auto" w:frame="1"/>
          <w:shd w:val="clear" w:color="auto" w:fill="FFFFFF"/>
        </w:rPr>
        <w:t>Allemagne</w:t>
      </w:r>
      <w:r w:rsidRPr="00004365">
        <w:rPr>
          <w:rFonts w:ascii="Garamond" w:hAnsi="Garamond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EEF61BC" w14:textId="5B295D25" w:rsidR="00727C21" w:rsidRPr="004528B6" w:rsidRDefault="00727C21" w:rsidP="00727C2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it-IT"/>
        </w:rPr>
      </w:pP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Walter Zidaric (Universit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é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 d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 xml:space="preserve"> </w:t>
      </w:r>
      <w:r w:rsidR="00361A5C" w:rsidRPr="004528B6">
        <w:rPr>
          <w:rFonts w:ascii="Garamond" w:eastAsia="Times New Roman" w:hAnsi="Garamond" w:cs="Segoe UI"/>
          <w:sz w:val="24"/>
          <w:szCs w:val="24"/>
          <w:lang w:eastAsia="it-IT"/>
        </w:rPr>
        <w:t>Nantes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, Franc</w:t>
      </w:r>
      <w:r w:rsidR="00A231CB">
        <w:rPr>
          <w:rFonts w:ascii="Garamond" w:eastAsia="Times New Roman" w:hAnsi="Garamond" w:cs="Segoe UI"/>
          <w:sz w:val="24"/>
          <w:szCs w:val="24"/>
          <w:lang w:eastAsia="it-IT"/>
        </w:rPr>
        <w:t>e</w:t>
      </w:r>
      <w:r w:rsidRPr="004528B6">
        <w:rPr>
          <w:rFonts w:ascii="Garamond" w:eastAsia="Times New Roman" w:hAnsi="Garamond" w:cs="Segoe UI"/>
          <w:sz w:val="24"/>
          <w:szCs w:val="24"/>
          <w:lang w:eastAsia="it-IT"/>
        </w:rPr>
        <w:t>)</w:t>
      </w:r>
      <w:r w:rsidR="00C36347" w:rsidRPr="004528B6">
        <w:rPr>
          <w:rFonts w:ascii="Garamond" w:eastAsia="Times New Roman" w:hAnsi="Garamond" w:cs="Segoe UI"/>
          <w:sz w:val="24"/>
          <w:szCs w:val="24"/>
          <w:lang w:eastAsia="it-IT"/>
        </w:rPr>
        <w:t>.</w:t>
      </w:r>
    </w:p>
    <w:p w14:paraId="20853F5B" w14:textId="77777777" w:rsidR="00727C21" w:rsidRPr="004528B6" w:rsidRDefault="00727C21" w:rsidP="000F246D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14:paraId="4641A6D0" w14:textId="615F396B" w:rsidR="00004365" w:rsidRDefault="00A231CB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Les pa</w:t>
      </w:r>
      <w:r w:rsidR="004528B6">
        <w:rPr>
          <w:rFonts w:ascii="Garamond" w:hAnsi="Garamond"/>
          <w:color w:val="000000"/>
          <w:sz w:val="24"/>
          <w:szCs w:val="24"/>
          <w:shd w:val="clear" w:color="auto" w:fill="FFFFFF"/>
        </w:rPr>
        <w:t>rt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e</w:t>
      </w:r>
      <w:r w:rsidR="004528B6">
        <w:rPr>
          <w:rFonts w:ascii="Garamond" w:hAnsi="Garamond"/>
          <w:color w:val="000000"/>
          <w:sz w:val="24"/>
          <w:szCs w:val="24"/>
          <w:shd w:val="clear" w:color="auto" w:fill="FFFFFF"/>
        </w:rPr>
        <w:t>n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ai</w:t>
      </w:r>
      <w:r w:rsidR="004528B6">
        <w:rPr>
          <w:rFonts w:ascii="Garamond" w:hAnsi="Garamond"/>
          <w:color w:val="000000"/>
          <w:sz w:val="24"/>
          <w:szCs w:val="24"/>
          <w:shd w:val="clear" w:color="auto" w:fill="FFFFFF"/>
        </w:rPr>
        <w:t>r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es</w:t>
      </w:r>
      <w:r w:rsidR="004528B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u</w:t>
      </w:r>
      <w:r w:rsidR="004528B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Centr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e</w:t>
      </w:r>
      <w:r w:rsidR="004528B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TULE son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t </w:t>
      </w:r>
      <w:r w:rsidR="004528B6">
        <w:rPr>
          <w:rFonts w:ascii="Garamond" w:hAnsi="Garamond"/>
          <w:color w:val="000000"/>
          <w:sz w:val="24"/>
          <w:szCs w:val="24"/>
          <w:shd w:val="clear" w:color="auto" w:fill="FFFFFF"/>
        </w:rPr>
        <w:t>:</w:t>
      </w:r>
    </w:p>
    <w:p w14:paraId="5FA945FD" w14:textId="726C9992" w:rsidR="004528B6" w:rsidRDefault="004528B6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r w:rsidR="00C3634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I </w:t>
      </w:r>
      <w:r w:rsidR="00813578">
        <w:rPr>
          <w:rFonts w:ascii="Garamond" w:hAnsi="Garamond"/>
          <w:color w:val="000000"/>
          <w:sz w:val="24"/>
          <w:szCs w:val="24"/>
          <w:shd w:val="clear" w:color="auto" w:fill="FFFFFF"/>
        </w:rPr>
        <w:t>Parchi Letterari</w:t>
      </w:r>
      <w:r w:rsidR="00A231C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(Réseau des Parcs littéraires en Italie)</w:t>
      </w:r>
    </w:p>
    <w:p w14:paraId="7BEEDF3C" w14:textId="2F98B606" w:rsidR="004528B6" w:rsidRDefault="004528B6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r w:rsidR="00A231CB">
        <w:rPr>
          <w:rFonts w:ascii="Garamond" w:hAnsi="Garamond"/>
          <w:color w:val="000000"/>
          <w:sz w:val="24"/>
          <w:szCs w:val="24"/>
        </w:rPr>
        <w:t>Le</w:t>
      </w:r>
      <w:r w:rsidR="007E5ACF">
        <w:rPr>
          <w:rFonts w:ascii="Garamond" w:hAnsi="Garamond"/>
          <w:color w:val="000000"/>
          <w:sz w:val="24"/>
          <w:szCs w:val="24"/>
        </w:rPr>
        <w:t xml:space="preserve"> Centr</w:t>
      </w:r>
      <w:r w:rsidR="00A231CB">
        <w:rPr>
          <w:rFonts w:ascii="Garamond" w:hAnsi="Garamond"/>
          <w:color w:val="000000"/>
          <w:sz w:val="24"/>
          <w:szCs w:val="24"/>
        </w:rPr>
        <w:t>e</w:t>
      </w:r>
      <w:r w:rsidR="007E5ACF">
        <w:rPr>
          <w:rFonts w:ascii="Garamond" w:hAnsi="Garamond"/>
          <w:color w:val="000000"/>
          <w:sz w:val="24"/>
          <w:szCs w:val="24"/>
        </w:rPr>
        <w:t xml:space="preserve"> Aixois</w:t>
      </w:r>
      <w:r w:rsidR="00C36347" w:rsidRPr="007E5ACF">
        <w:rPr>
          <w:rFonts w:ascii="Garamond" w:hAnsi="Garamond"/>
          <w:sz w:val="24"/>
          <w:szCs w:val="24"/>
        </w:rPr>
        <w:t xml:space="preserve"> </w:t>
      </w:r>
      <w:r w:rsidR="00C36347" w:rsidRPr="00C36347">
        <w:rPr>
          <w:rFonts w:ascii="Garamond" w:hAnsi="Garamond"/>
          <w:color w:val="000000"/>
          <w:sz w:val="24"/>
          <w:szCs w:val="24"/>
        </w:rPr>
        <w:t>d</w:t>
      </w:r>
      <w:r w:rsidR="00A231CB">
        <w:rPr>
          <w:rFonts w:ascii="Garamond" w:hAnsi="Garamond"/>
          <w:color w:val="000000"/>
          <w:sz w:val="24"/>
          <w:szCs w:val="24"/>
        </w:rPr>
        <w:t xml:space="preserve">’études romanes </w:t>
      </w:r>
      <w:r w:rsidR="00C36347" w:rsidRPr="00C36347">
        <w:rPr>
          <w:rFonts w:ascii="Garamond" w:hAnsi="Garamond"/>
          <w:color w:val="000000"/>
          <w:sz w:val="24"/>
          <w:szCs w:val="24"/>
        </w:rPr>
        <w:t xml:space="preserve">(CAER) </w:t>
      </w:r>
      <w:r w:rsidR="00A231CB">
        <w:rPr>
          <w:rFonts w:ascii="Garamond" w:hAnsi="Garamond"/>
          <w:color w:val="000000"/>
          <w:sz w:val="24"/>
          <w:szCs w:val="24"/>
        </w:rPr>
        <w:t xml:space="preserve">à </w:t>
      </w:r>
      <w:r w:rsidR="00C36347" w:rsidRPr="00C36347">
        <w:rPr>
          <w:rFonts w:ascii="Garamond" w:hAnsi="Garamond"/>
          <w:color w:val="000000"/>
          <w:sz w:val="24"/>
          <w:szCs w:val="24"/>
        </w:rPr>
        <w:t>Aix-</w:t>
      </w:r>
      <w:r w:rsidR="00361A5C" w:rsidRPr="004528B6">
        <w:rPr>
          <w:rFonts w:ascii="Garamond" w:hAnsi="Garamond"/>
          <w:sz w:val="24"/>
          <w:szCs w:val="24"/>
        </w:rPr>
        <w:t>Marseille</w:t>
      </w:r>
      <w:r w:rsidR="00A231CB">
        <w:rPr>
          <w:rFonts w:ascii="Garamond" w:hAnsi="Garamond"/>
          <w:sz w:val="24"/>
          <w:szCs w:val="24"/>
        </w:rPr>
        <w:t xml:space="preserve"> Université</w:t>
      </w:r>
    </w:p>
    <w:p w14:paraId="15F70952" w14:textId="7DA3411E" w:rsidR="00727C21" w:rsidRDefault="004528B6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- </w:t>
      </w:r>
      <w:r w:rsidR="00A231CB">
        <w:rPr>
          <w:rFonts w:ascii="Garamond" w:hAnsi="Garamond"/>
          <w:color w:val="000000"/>
          <w:sz w:val="24"/>
          <w:szCs w:val="24"/>
        </w:rPr>
        <w:t>L</w:t>
      </w:r>
      <w:r w:rsidR="0041294B">
        <w:rPr>
          <w:rFonts w:ascii="Garamond" w:hAnsi="Garamond"/>
          <w:color w:val="000000"/>
          <w:sz w:val="24"/>
          <w:szCs w:val="24"/>
        </w:rPr>
        <w:t>a Fonda</w:t>
      </w:r>
      <w:r w:rsidR="00A231CB">
        <w:rPr>
          <w:rFonts w:ascii="Garamond" w:hAnsi="Garamond"/>
          <w:color w:val="000000"/>
          <w:sz w:val="24"/>
          <w:szCs w:val="24"/>
        </w:rPr>
        <w:t>t</w:t>
      </w:r>
      <w:r w:rsidR="0041294B">
        <w:rPr>
          <w:rFonts w:ascii="Garamond" w:hAnsi="Garamond"/>
          <w:color w:val="000000"/>
          <w:sz w:val="24"/>
          <w:szCs w:val="24"/>
        </w:rPr>
        <w:t>ion Uniser Pistoia</w:t>
      </w:r>
      <w:r w:rsidR="00A231CB">
        <w:rPr>
          <w:rFonts w:ascii="Garamond" w:hAnsi="Garamond"/>
          <w:color w:val="000000"/>
          <w:sz w:val="24"/>
          <w:szCs w:val="24"/>
        </w:rPr>
        <w:t xml:space="preserve"> (Italie)</w:t>
      </w:r>
    </w:p>
    <w:p w14:paraId="51FEB367" w14:textId="550AEFDF" w:rsidR="001728D4" w:rsidRPr="00A231CB" w:rsidRDefault="0041294B" w:rsidP="001728D4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41294B">
        <w:rPr>
          <w:rFonts w:ascii="Garamond" w:hAnsi="Garamond"/>
          <w:color w:val="000000"/>
          <w:sz w:val="24"/>
          <w:szCs w:val="24"/>
        </w:rPr>
        <w:t xml:space="preserve">- </w:t>
      </w:r>
      <w:r w:rsidR="00A231CB">
        <w:rPr>
          <w:rFonts w:ascii="Garamond" w:hAnsi="Garamond"/>
          <w:color w:val="000000"/>
          <w:sz w:val="24"/>
          <w:szCs w:val="24"/>
        </w:rPr>
        <w:t xml:space="preserve">Le </w:t>
      </w:r>
      <w:r w:rsidRPr="0041294B">
        <w:rPr>
          <w:rFonts w:ascii="Garamond" w:hAnsi="Garamond"/>
          <w:sz w:val="24"/>
          <w:szCs w:val="24"/>
        </w:rPr>
        <w:t>Centre for Tourism Research, Development and Innovation (CiTUR)</w:t>
      </w:r>
      <w:r w:rsidR="00A231CB">
        <w:rPr>
          <w:rFonts w:ascii="Garamond" w:hAnsi="Garamond"/>
          <w:sz w:val="24"/>
          <w:szCs w:val="24"/>
        </w:rPr>
        <w:t xml:space="preserve"> au Portugal.</w:t>
      </w:r>
    </w:p>
    <w:p w14:paraId="33354CF6" w14:textId="77777777" w:rsidR="001728D4" w:rsidRDefault="001728D4" w:rsidP="001728D4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sectPr w:rsidR="00172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BF"/>
    <w:rsid w:val="00004365"/>
    <w:rsid w:val="000676CD"/>
    <w:rsid w:val="0009541F"/>
    <w:rsid w:val="000F246D"/>
    <w:rsid w:val="001727FC"/>
    <w:rsid w:val="001728D4"/>
    <w:rsid w:val="002F0C39"/>
    <w:rsid w:val="00361A5C"/>
    <w:rsid w:val="00394A54"/>
    <w:rsid w:val="0041294B"/>
    <w:rsid w:val="004528B6"/>
    <w:rsid w:val="00515254"/>
    <w:rsid w:val="005B7597"/>
    <w:rsid w:val="00657F8D"/>
    <w:rsid w:val="00694000"/>
    <w:rsid w:val="006A02E5"/>
    <w:rsid w:val="006A645A"/>
    <w:rsid w:val="00727C21"/>
    <w:rsid w:val="0076109F"/>
    <w:rsid w:val="007E5ACF"/>
    <w:rsid w:val="00813578"/>
    <w:rsid w:val="00822FAF"/>
    <w:rsid w:val="00884D12"/>
    <w:rsid w:val="00893D56"/>
    <w:rsid w:val="009C108A"/>
    <w:rsid w:val="00A231CB"/>
    <w:rsid w:val="00A752FF"/>
    <w:rsid w:val="00AE6FBF"/>
    <w:rsid w:val="00B53FAE"/>
    <w:rsid w:val="00BC25F4"/>
    <w:rsid w:val="00C36347"/>
    <w:rsid w:val="00C74ABC"/>
    <w:rsid w:val="00CB5630"/>
    <w:rsid w:val="00D425B9"/>
    <w:rsid w:val="00D56536"/>
    <w:rsid w:val="00E47C17"/>
    <w:rsid w:val="00F1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3A39"/>
  <w15:chartTrackingRefBased/>
  <w15:docId w15:val="{29A8D8C3-2800-48E5-BC0C-F1E57C3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2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46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1A5C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2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25F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C25F4"/>
  </w:style>
  <w:style w:type="character" w:customStyle="1" w:styleId="Titolo2Carattere">
    <w:name w:val="Titolo 2 Carattere"/>
    <w:basedOn w:val="Carpredefinitoparagrafo"/>
    <w:link w:val="Titolo2"/>
    <w:uiPriority w:val="9"/>
    <w:rsid w:val="00452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4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e.literarytourismresearch@gmail.com" TargetMode="External"/><Relationship Id="rId5" Type="http://schemas.openxmlformats.org/officeDocument/2006/relationships/hyperlink" Target="https://www.unistrapg.it/it/ricerca/ricerca/dipartimenti-e-centri/centro-sul-turismo-letterario-tu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Capecchi</dc:creator>
  <cp:keywords/>
  <dc:description/>
  <cp:lastModifiedBy>Giovanni Capecchi</cp:lastModifiedBy>
  <cp:revision>2</cp:revision>
  <dcterms:created xsi:type="dcterms:W3CDTF">2024-01-31T15:19:00Z</dcterms:created>
  <dcterms:modified xsi:type="dcterms:W3CDTF">2024-01-31T15:19:00Z</dcterms:modified>
</cp:coreProperties>
</file>